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1F7812" w:rsidRPr="00C46096" w14:paraId="6B3228E8" w14:textId="77777777" w:rsidTr="68AF5C58">
        <w:trPr>
          <w:trHeight w:val="1128"/>
          <w:tblHeader/>
        </w:trPr>
        <w:tc>
          <w:tcPr>
            <w:tcW w:w="9923" w:type="dxa"/>
            <w:gridSpan w:val="2"/>
            <w:shd w:val="clear" w:color="auto" w:fill="D9D9D9" w:themeFill="background1" w:themeFillShade="D9"/>
            <w:vAlign w:val="center"/>
          </w:tcPr>
          <w:p w14:paraId="73E33613" w14:textId="77777777" w:rsidR="00106A2F" w:rsidRPr="00C46096" w:rsidRDefault="68AF5C58" w:rsidP="68AF5C58">
            <w:pPr>
              <w:pStyle w:val="NormalWeb"/>
              <w:spacing w:before="0" w:beforeAutospacing="0" w:after="0" w:afterAutospacing="0"/>
              <w:jc w:val="center"/>
              <w:rPr>
                <w:rFonts w:ascii="Arial Narrow,Arial" w:eastAsia="Arial Narrow,Arial" w:hAnsi="Arial Narrow,Arial" w:cs="Arial Narrow,Arial"/>
                <w:color w:val="auto"/>
                <w:lang w:val="es-CO"/>
              </w:rPr>
            </w:pPr>
            <w:r w:rsidRPr="00C46096">
              <w:rPr>
                <w:rFonts w:ascii="Arial Narrow" w:eastAsia="Arial Narrow" w:hAnsi="Arial Narrow" w:cs="Arial Narrow"/>
                <w:color w:val="auto"/>
                <w:lang w:val="es-CO"/>
              </w:rPr>
              <w:t xml:space="preserve">Proyecto de </w:t>
            </w:r>
            <w:r w:rsidR="003A3963">
              <w:rPr>
                <w:rFonts w:ascii="Arial Narrow" w:eastAsia="Arial Narrow" w:hAnsi="Arial Narrow" w:cs="Arial Narrow"/>
                <w:color w:val="auto"/>
                <w:lang w:val="es-CO"/>
              </w:rPr>
              <w:t xml:space="preserve">Resolución </w:t>
            </w:r>
          </w:p>
          <w:p w14:paraId="6E9E6CFD" w14:textId="77777777" w:rsidR="00537570" w:rsidRPr="00C46096" w:rsidRDefault="68AF5C58" w:rsidP="68AF5C58">
            <w:pPr>
              <w:jc w:val="center"/>
              <w:rPr>
                <w:rFonts w:ascii="Arial Narrow,Arial,ヒラギノ角ゴ Pro W" w:eastAsia="Arial Narrow,Arial,ヒラギノ角ゴ Pro W" w:hAnsi="Arial Narrow,Arial,ヒラギノ角ゴ Pro W" w:cs="Arial Narrow,Arial,ヒラギノ角ゴ Pro W"/>
                <w:i/>
                <w:iCs/>
                <w:sz w:val="24"/>
                <w:szCs w:val="24"/>
                <w:lang w:eastAsia="en-US"/>
              </w:rPr>
            </w:pPr>
            <w:r w:rsidRPr="00C46096">
              <w:rPr>
                <w:rFonts w:ascii="Arial Narrow,Arial" w:eastAsia="Arial Narrow,Arial" w:hAnsi="Arial Narrow,Arial" w:cs="Arial Narrow,Arial"/>
                <w:i/>
                <w:iCs/>
                <w:sz w:val="24"/>
                <w:szCs w:val="24"/>
              </w:rPr>
              <w:t>“</w:t>
            </w:r>
            <w:r w:rsidR="003A3963" w:rsidRPr="003A3963">
              <w:rPr>
                <w:rFonts w:ascii="Arial Narrow" w:eastAsia="Arial Narrow" w:hAnsi="Arial Narrow" w:cs="Arial Narrow"/>
                <w:i/>
                <w:iCs/>
                <w:sz w:val="24"/>
                <w:szCs w:val="24"/>
              </w:rPr>
              <w:t>Por medio de la cual se adopta la guía para el cálculo de provisiones y reconocimiento contable de los procesos judiciales, arbitramentos y conciliaciones extrajudiciales en los que la entidad es parte y embargos de cuentas bancarias en Prosperidad Social</w:t>
            </w:r>
            <w:r w:rsidRPr="00C46096">
              <w:rPr>
                <w:rFonts w:ascii="Arial Narrow" w:eastAsia="Arial Narrow" w:hAnsi="Arial Narrow" w:cs="Arial Narrow"/>
                <w:i/>
                <w:iCs/>
                <w:sz w:val="24"/>
                <w:szCs w:val="24"/>
              </w:rPr>
              <w:t>.</w:t>
            </w:r>
            <w:r w:rsidRPr="00C46096">
              <w:rPr>
                <w:rFonts w:ascii="Arial Narrow,Arial" w:eastAsia="Arial Narrow,Arial" w:hAnsi="Arial Narrow,Arial" w:cs="Arial Narrow,Arial"/>
                <w:i/>
                <w:iCs/>
                <w:sz w:val="24"/>
                <w:szCs w:val="24"/>
                <w:lang w:val="es-CO"/>
              </w:rPr>
              <w:t>”</w:t>
            </w:r>
            <w:r w:rsidRPr="00C46096">
              <w:rPr>
                <w:rFonts w:ascii="Arial Narrow,Arial,ヒラギノ角ゴ Pro W" w:eastAsia="Arial Narrow,Arial,ヒラギノ角ゴ Pro W" w:hAnsi="Arial Narrow,Arial,ヒラギノ角ゴ Pro W" w:cs="Arial Narrow,Arial,ヒラギノ角ゴ Pro W"/>
                <w:i/>
                <w:iCs/>
                <w:sz w:val="24"/>
                <w:szCs w:val="24"/>
                <w:lang w:eastAsia="en-US"/>
              </w:rPr>
              <w:t xml:space="preserve"> </w:t>
            </w:r>
          </w:p>
          <w:p w14:paraId="4EC809F0" w14:textId="77777777" w:rsidR="00E26CCC" w:rsidRPr="00C46096" w:rsidRDefault="00E26CCC" w:rsidP="00584721">
            <w:pPr>
              <w:pStyle w:val="NormalWeb"/>
              <w:spacing w:before="0" w:beforeAutospacing="0" w:after="0" w:afterAutospacing="0"/>
              <w:jc w:val="center"/>
              <w:rPr>
                <w:rFonts w:ascii="Arial Narrow" w:hAnsi="Arial Narrow" w:cs="Arial"/>
                <w:color w:val="auto"/>
                <w:lang w:val="es-ES_tradnl"/>
              </w:rPr>
            </w:pPr>
          </w:p>
        </w:tc>
      </w:tr>
      <w:tr w:rsidR="001F7812" w:rsidRPr="00C46096" w14:paraId="1A58D00E" w14:textId="77777777" w:rsidTr="68AF5C58">
        <w:trPr>
          <w:trHeight w:val="1939"/>
        </w:trPr>
        <w:tc>
          <w:tcPr>
            <w:tcW w:w="2552" w:type="dxa"/>
            <w:vAlign w:val="center"/>
          </w:tcPr>
          <w:p w14:paraId="7E583B9F" w14:textId="77777777" w:rsidR="00E26CCC" w:rsidRPr="00C46096" w:rsidRDefault="68AF5C58" w:rsidP="68AF5C58">
            <w:pPr>
              <w:jc w:val="both"/>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Dependencia que desarrollará el proyecto de Norma (Escriba el nombre de la dependencia que liderará el proceso)</w:t>
            </w:r>
          </w:p>
        </w:tc>
        <w:tc>
          <w:tcPr>
            <w:tcW w:w="7371" w:type="dxa"/>
            <w:vAlign w:val="center"/>
          </w:tcPr>
          <w:p w14:paraId="19F43FF8" w14:textId="77777777" w:rsidR="003E524C" w:rsidRPr="00C46096" w:rsidRDefault="0014189C" w:rsidP="68AF5C58">
            <w:pPr>
              <w:jc w:val="both"/>
              <w:rPr>
                <w:rFonts w:ascii="Arial Narrow,Arial" w:eastAsia="Arial Narrow,Arial" w:hAnsi="Arial Narrow,Arial" w:cs="Arial Narrow,Arial"/>
                <w:sz w:val="24"/>
                <w:szCs w:val="24"/>
                <w:lang w:val="es-CO"/>
              </w:rPr>
            </w:pPr>
            <w:r>
              <w:rPr>
                <w:rFonts w:ascii="Arial Narrow" w:eastAsia="Arial Narrow" w:hAnsi="Arial Narrow" w:cs="Arial Narrow"/>
                <w:sz w:val="24"/>
                <w:szCs w:val="24"/>
                <w:lang w:val="es-CO"/>
              </w:rPr>
              <w:t>Oficina Asesora Jurídica</w:t>
            </w:r>
            <w:r w:rsidR="68AF5C58" w:rsidRPr="00C46096">
              <w:rPr>
                <w:rFonts w:ascii="Arial Narrow" w:eastAsia="Arial Narrow" w:hAnsi="Arial Narrow" w:cs="Arial Narrow"/>
                <w:sz w:val="24"/>
                <w:szCs w:val="24"/>
                <w:lang w:val="es-CO"/>
              </w:rPr>
              <w:t xml:space="preserve"> </w:t>
            </w:r>
            <w:r w:rsidR="68AF5C58" w:rsidRPr="00C46096">
              <w:rPr>
                <w:rFonts w:ascii="Arial Narrow,Arial" w:eastAsia="Arial Narrow,Arial" w:hAnsi="Arial Narrow,Arial" w:cs="Arial Narrow,Arial"/>
                <w:sz w:val="24"/>
                <w:szCs w:val="24"/>
                <w:lang w:val="es-CO"/>
              </w:rPr>
              <w:t xml:space="preserve">– </w:t>
            </w:r>
            <w:r w:rsidR="68AF5C58" w:rsidRPr="00C46096">
              <w:rPr>
                <w:rFonts w:ascii="Arial Narrow" w:eastAsia="Arial Narrow" w:hAnsi="Arial Narrow" w:cs="Arial Narrow"/>
                <w:sz w:val="24"/>
                <w:szCs w:val="24"/>
                <w:lang w:val="es-CO"/>
              </w:rPr>
              <w:t>Departamento Administrativo para la Prosperidad Social</w:t>
            </w:r>
          </w:p>
          <w:p w14:paraId="4A46D4A6" w14:textId="77777777" w:rsidR="001504F3" w:rsidRPr="00C46096" w:rsidRDefault="001504F3" w:rsidP="68AF5C58">
            <w:pPr>
              <w:jc w:val="both"/>
              <w:rPr>
                <w:rFonts w:ascii="Arial Narrow,Arial" w:eastAsia="Arial Narrow,Arial" w:hAnsi="Arial Narrow,Arial" w:cs="Arial Narrow,Arial"/>
                <w:sz w:val="24"/>
                <w:szCs w:val="24"/>
                <w:lang w:val="es-CO"/>
              </w:rPr>
            </w:pPr>
          </w:p>
        </w:tc>
      </w:tr>
      <w:tr w:rsidR="00E26CCC" w:rsidRPr="00C46096" w14:paraId="3733BAC9" w14:textId="77777777" w:rsidTr="68AF5C58">
        <w:tc>
          <w:tcPr>
            <w:tcW w:w="2552" w:type="dxa"/>
            <w:vAlign w:val="center"/>
          </w:tcPr>
          <w:p w14:paraId="5C326434" w14:textId="77777777" w:rsidR="00E26CCC"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Proyecto de</w:t>
            </w:r>
            <w:r w:rsidRPr="00C46096">
              <w:rPr>
                <w:rFonts w:ascii="Arial Narrow,Arial" w:eastAsia="Arial Narrow,Arial" w:hAnsi="Arial Narrow,Arial" w:cs="Arial Narrow,Arial"/>
                <w:b/>
                <w:bCs/>
                <w:sz w:val="24"/>
                <w:szCs w:val="24"/>
                <w:lang w:val="es-CO"/>
              </w:rPr>
              <w:t xml:space="preserve"> </w:t>
            </w:r>
            <w:r w:rsidR="00355CD3">
              <w:rPr>
                <w:rFonts w:ascii="Arial Narrow" w:eastAsia="Arial Narrow" w:hAnsi="Arial Narrow" w:cs="Arial Narrow"/>
                <w:b/>
                <w:bCs/>
                <w:sz w:val="24"/>
                <w:szCs w:val="24"/>
                <w:lang w:val="es-CO"/>
              </w:rPr>
              <w:t>Resolución</w:t>
            </w:r>
            <w:r w:rsidRPr="00C46096">
              <w:rPr>
                <w:rFonts w:ascii="Arial Narrow,Arial" w:eastAsia="Arial Narrow,Arial" w:hAnsi="Arial Narrow,Arial" w:cs="Arial Narrow,Arial"/>
                <w:b/>
                <w:bCs/>
                <w:sz w:val="24"/>
                <w:szCs w:val="24"/>
                <w:lang w:val="es-CO"/>
              </w:rPr>
              <w:t xml:space="preserve">: </w:t>
            </w:r>
          </w:p>
        </w:tc>
        <w:tc>
          <w:tcPr>
            <w:tcW w:w="7371" w:type="dxa"/>
            <w:vAlign w:val="center"/>
          </w:tcPr>
          <w:p w14:paraId="143B04CC" w14:textId="77777777" w:rsidR="00095AD1" w:rsidRPr="00C46096" w:rsidRDefault="00355CD3" w:rsidP="68AF5C58">
            <w:pPr>
              <w:pStyle w:val="Style-2"/>
              <w:jc w:val="both"/>
              <w:rPr>
                <w:rFonts w:ascii="Arial Narrow,Arial" w:eastAsia="Arial Narrow,Arial" w:hAnsi="Arial Narrow,Arial" w:cs="Arial Narrow,Arial"/>
                <w:sz w:val="24"/>
                <w:szCs w:val="24"/>
              </w:rPr>
            </w:pPr>
            <w:r w:rsidRPr="00355CD3">
              <w:rPr>
                <w:rFonts w:ascii="Arial Narrow" w:eastAsia="Arial Narrow" w:hAnsi="Arial Narrow" w:cs="Arial Narrow"/>
                <w:sz w:val="24"/>
                <w:szCs w:val="24"/>
              </w:rPr>
              <w:t>Por medio de la cual se adopta la guía para el cálculo de provisiones y reconocimiento contable de los procesos judiciales, arbitramentos y conciliaciones extrajudiciales en los que la entidad es parte y embargos de cuentas bancarias en Prosperidad Social</w:t>
            </w:r>
            <w:r>
              <w:rPr>
                <w:rFonts w:ascii="Arial Narrow" w:eastAsia="Arial Narrow" w:hAnsi="Arial Narrow" w:cs="Arial Narrow"/>
                <w:sz w:val="24"/>
                <w:szCs w:val="24"/>
              </w:rPr>
              <w:t>.</w:t>
            </w:r>
          </w:p>
        </w:tc>
      </w:tr>
    </w:tbl>
    <w:p w14:paraId="56917F18" w14:textId="77777777" w:rsidR="00B05975" w:rsidRPr="00C46096" w:rsidRDefault="00B05975" w:rsidP="00ED70D8">
      <w:pPr>
        <w:jc w:val="both"/>
        <w:rPr>
          <w:rFonts w:ascii="Arial Narrow" w:hAnsi="Arial Narrow" w:cs="Arial"/>
          <w:sz w:val="24"/>
          <w:szCs w:val="24"/>
          <w:lang w:val="es-C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1F7812" w:rsidRPr="00C46096" w14:paraId="21CCED6D" w14:textId="77777777" w:rsidTr="68AF5C58">
        <w:tc>
          <w:tcPr>
            <w:tcW w:w="2552" w:type="dxa"/>
            <w:tcBorders>
              <w:right w:val="single" w:sz="4" w:space="0" w:color="auto"/>
            </w:tcBorders>
            <w:vAlign w:val="center"/>
          </w:tcPr>
          <w:p w14:paraId="26C59FE6" w14:textId="77777777"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1. Los antecedentes y las razones de oportunidad y conveniencia que justifican su expedición.</w:t>
            </w:r>
          </w:p>
          <w:p w14:paraId="06940EC7" w14:textId="77777777" w:rsidR="006D213E" w:rsidRPr="00C46096" w:rsidRDefault="006D213E" w:rsidP="00ED70D8">
            <w:pPr>
              <w:jc w:val="both"/>
              <w:rPr>
                <w:rFonts w:ascii="Arial Narrow" w:hAnsi="Arial Narrow" w:cs="Arial"/>
                <w:b/>
                <w:sz w:val="24"/>
                <w:szCs w:val="24"/>
                <w:lang w:val="es-CO"/>
              </w:rPr>
            </w:pPr>
          </w:p>
        </w:tc>
        <w:tc>
          <w:tcPr>
            <w:tcW w:w="7371" w:type="dxa"/>
            <w:tcBorders>
              <w:top w:val="single" w:sz="4" w:space="0" w:color="auto"/>
              <w:left w:val="single" w:sz="4" w:space="0" w:color="auto"/>
              <w:bottom w:val="single" w:sz="4" w:space="0" w:color="auto"/>
              <w:right w:val="single" w:sz="4" w:space="0" w:color="auto"/>
            </w:tcBorders>
            <w:vAlign w:val="center"/>
          </w:tcPr>
          <w:p w14:paraId="7907A20F" w14:textId="77777777" w:rsidR="00B01827" w:rsidRDefault="00B01827" w:rsidP="00767624">
            <w:pPr>
              <w:adjustRightInd w:val="0"/>
              <w:jc w:val="both"/>
              <w:rPr>
                <w:rFonts w:ascii="Arial Narrow" w:eastAsia="Arial Narrow" w:hAnsi="Arial Narrow" w:cs="Arial Narrow"/>
                <w:color w:val="000000" w:themeColor="text1"/>
                <w:sz w:val="24"/>
                <w:szCs w:val="24"/>
              </w:rPr>
            </w:pPr>
            <w:r w:rsidRPr="00B01827">
              <w:rPr>
                <w:rFonts w:ascii="Arial Narrow" w:eastAsia="Arial Narrow" w:hAnsi="Arial Narrow" w:cs="Arial Narrow"/>
                <w:color w:val="000000" w:themeColor="text1"/>
                <w:sz w:val="24"/>
                <w:szCs w:val="24"/>
              </w:rPr>
              <w:t>Que el artículo 1 de la Ley 448 de 1998 dispone que deben incluirse en el Presupuesto General de la Nación, las apropiaciones necesarias para cubrir los posibles fallos o sentencias definitivas en contra de la Entidad, para lo cual se debe implementar una metodología para evaluar el riesgo y estimar el valor a incluir en el presupuesto del Prosperidad Social por concepto de estas obligaciones.</w:t>
            </w:r>
          </w:p>
          <w:p w14:paraId="34E11B60" w14:textId="77777777" w:rsidR="00B01827" w:rsidRDefault="00B01827" w:rsidP="00767624">
            <w:pPr>
              <w:adjustRightInd w:val="0"/>
              <w:jc w:val="both"/>
              <w:rPr>
                <w:rFonts w:ascii="Arial Narrow" w:eastAsia="Arial Narrow" w:hAnsi="Arial Narrow" w:cs="Arial Narrow"/>
                <w:color w:val="000000" w:themeColor="text1"/>
                <w:sz w:val="24"/>
                <w:szCs w:val="24"/>
              </w:rPr>
            </w:pPr>
          </w:p>
          <w:p w14:paraId="3AE40A84" w14:textId="77777777" w:rsidR="00767624" w:rsidRPr="00767624" w:rsidRDefault="00767624" w:rsidP="00767624">
            <w:pPr>
              <w:adjustRightInd w:val="0"/>
              <w:jc w:val="both"/>
              <w:rPr>
                <w:rFonts w:ascii="Arial Narrow" w:eastAsia="Arial Narrow" w:hAnsi="Arial Narrow" w:cs="Arial Narrow"/>
                <w:color w:val="000000" w:themeColor="text1"/>
                <w:sz w:val="24"/>
                <w:szCs w:val="24"/>
              </w:rPr>
            </w:pPr>
            <w:r w:rsidRPr="00767624">
              <w:rPr>
                <w:rFonts w:ascii="Arial Narrow" w:eastAsia="Arial Narrow" w:hAnsi="Arial Narrow" w:cs="Arial Narrow"/>
                <w:color w:val="000000" w:themeColor="text1"/>
                <w:sz w:val="24"/>
                <w:szCs w:val="24"/>
              </w:rPr>
              <w:t xml:space="preserve">Que el numeral 5 del artículo 2.2.3.4.1.10 del Decreto 1069 de 2015 establece entre otras, como funciones del apoderado de la Entidad frente al Sistema Único de Gestión e Información de Actividad Litigiosa del Estado – </w:t>
            </w:r>
            <w:proofErr w:type="spellStart"/>
            <w:r w:rsidRPr="00767624">
              <w:rPr>
                <w:rFonts w:ascii="Arial Narrow" w:eastAsia="Arial Narrow" w:hAnsi="Arial Narrow" w:cs="Arial Narrow"/>
                <w:color w:val="000000" w:themeColor="text1"/>
                <w:sz w:val="24"/>
                <w:szCs w:val="24"/>
              </w:rPr>
              <w:t>eKOGUI</w:t>
            </w:r>
            <w:proofErr w:type="spellEnd"/>
            <w:r w:rsidRPr="00767624">
              <w:rPr>
                <w:rFonts w:ascii="Arial Narrow" w:eastAsia="Arial Narrow" w:hAnsi="Arial Narrow" w:cs="Arial Narrow"/>
                <w:color w:val="000000" w:themeColor="text1"/>
                <w:sz w:val="24"/>
                <w:szCs w:val="24"/>
              </w:rPr>
              <w:t>, “… Incorporar el valor de la provisión contable de los procesos a su cargo, con una periodicidad no superior a seis (6) meses, así como cada vez que se profiera una sentencia judicial sobre el mismo de conformidad con la metodología que se establezca para tal fin…”.</w:t>
            </w:r>
          </w:p>
          <w:p w14:paraId="59743F38" w14:textId="77777777" w:rsidR="00767624" w:rsidRPr="00767624" w:rsidRDefault="00767624" w:rsidP="00767624">
            <w:pPr>
              <w:adjustRightInd w:val="0"/>
              <w:jc w:val="both"/>
              <w:rPr>
                <w:rFonts w:ascii="Arial Narrow" w:eastAsia="Arial Narrow" w:hAnsi="Arial Narrow" w:cs="Arial Narrow"/>
                <w:color w:val="000000" w:themeColor="text1"/>
                <w:sz w:val="24"/>
                <w:szCs w:val="24"/>
              </w:rPr>
            </w:pPr>
          </w:p>
          <w:p w14:paraId="5BAA3C4E" w14:textId="77777777" w:rsidR="00767624" w:rsidRPr="00767624" w:rsidRDefault="00767624" w:rsidP="00767624">
            <w:pPr>
              <w:adjustRightInd w:val="0"/>
              <w:jc w:val="both"/>
              <w:rPr>
                <w:rFonts w:ascii="Arial Narrow" w:eastAsia="Arial Narrow" w:hAnsi="Arial Narrow" w:cs="Arial Narrow"/>
                <w:color w:val="000000" w:themeColor="text1"/>
                <w:sz w:val="24"/>
                <w:szCs w:val="24"/>
              </w:rPr>
            </w:pPr>
            <w:r w:rsidRPr="00767624">
              <w:rPr>
                <w:rFonts w:ascii="Arial Narrow" w:eastAsia="Arial Narrow" w:hAnsi="Arial Narrow" w:cs="Arial Narrow"/>
                <w:color w:val="000000" w:themeColor="text1"/>
                <w:sz w:val="24"/>
                <w:szCs w:val="24"/>
              </w:rPr>
              <w:t>Que la Agencia Nacional de Defensa Jurídica del Estado mediante Resolución 353 del 1 de noviembre de 2016, adoptó una “metodología de reconocido valor técnico para el cálculo de la provisión contable de los procesos judiciales, conciliaciones extrajudiciales y trámites arbitrales en contra de la entidad”.</w:t>
            </w:r>
          </w:p>
          <w:p w14:paraId="2CD86AEE" w14:textId="77777777" w:rsidR="00767624" w:rsidRPr="00767624" w:rsidRDefault="00767624" w:rsidP="00767624">
            <w:pPr>
              <w:adjustRightInd w:val="0"/>
              <w:jc w:val="both"/>
              <w:rPr>
                <w:rFonts w:ascii="Arial Narrow" w:eastAsia="Arial Narrow" w:hAnsi="Arial Narrow" w:cs="Arial Narrow"/>
                <w:color w:val="000000" w:themeColor="text1"/>
                <w:sz w:val="24"/>
                <w:szCs w:val="24"/>
              </w:rPr>
            </w:pPr>
            <w:r w:rsidRPr="00767624">
              <w:rPr>
                <w:rFonts w:ascii="Arial Narrow" w:eastAsia="Arial Narrow" w:hAnsi="Arial Narrow" w:cs="Arial Narrow"/>
                <w:color w:val="000000" w:themeColor="text1"/>
                <w:sz w:val="24"/>
                <w:szCs w:val="24"/>
              </w:rPr>
              <w:t xml:space="preserve"> </w:t>
            </w:r>
          </w:p>
          <w:p w14:paraId="058B0A33" w14:textId="77777777" w:rsidR="00767624" w:rsidRPr="00767624" w:rsidRDefault="00767624" w:rsidP="00767624">
            <w:pPr>
              <w:adjustRightInd w:val="0"/>
              <w:jc w:val="both"/>
              <w:rPr>
                <w:rFonts w:ascii="Arial Narrow" w:eastAsia="Arial Narrow" w:hAnsi="Arial Narrow" w:cs="Arial Narrow"/>
                <w:color w:val="000000" w:themeColor="text1"/>
                <w:sz w:val="24"/>
                <w:szCs w:val="24"/>
              </w:rPr>
            </w:pPr>
            <w:r w:rsidRPr="00767624">
              <w:rPr>
                <w:rFonts w:ascii="Arial Narrow" w:eastAsia="Arial Narrow" w:hAnsi="Arial Narrow" w:cs="Arial Narrow"/>
                <w:color w:val="000000" w:themeColor="text1"/>
                <w:sz w:val="24"/>
                <w:szCs w:val="24"/>
              </w:rPr>
              <w:t>Que mediante la Resolución 116 del 6 de abril de 2017, emitida por la Contaduría General de la Nación, fue incorporado al “Marco Normativo para Entidades de Gobierno, el Procedimiento contable para el registro de los procesos judiciales, arbitrajes, conciliaciones extrajudiciales y embargos sobre cuentas bancarias…”.</w:t>
            </w:r>
          </w:p>
          <w:p w14:paraId="421302EB" w14:textId="77777777" w:rsidR="00767624" w:rsidRPr="00767624" w:rsidRDefault="00767624" w:rsidP="00767624">
            <w:pPr>
              <w:adjustRightInd w:val="0"/>
              <w:jc w:val="both"/>
              <w:rPr>
                <w:rFonts w:ascii="Arial Narrow" w:eastAsia="Arial Narrow" w:hAnsi="Arial Narrow" w:cs="Arial Narrow"/>
                <w:color w:val="000000" w:themeColor="text1"/>
                <w:sz w:val="24"/>
                <w:szCs w:val="24"/>
              </w:rPr>
            </w:pPr>
          </w:p>
          <w:p w14:paraId="6E63DAA5" w14:textId="77777777" w:rsidR="00767624" w:rsidRPr="00767624" w:rsidRDefault="00767624" w:rsidP="00767624">
            <w:pPr>
              <w:adjustRightInd w:val="0"/>
              <w:jc w:val="both"/>
              <w:rPr>
                <w:rFonts w:ascii="Arial Narrow" w:eastAsia="Arial Narrow" w:hAnsi="Arial Narrow" w:cs="Arial Narrow"/>
                <w:color w:val="000000" w:themeColor="text1"/>
                <w:sz w:val="24"/>
                <w:szCs w:val="24"/>
              </w:rPr>
            </w:pPr>
            <w:r w:rsidRPr="00767624">
              <w:rPr>
                <w:rFonts w:ascii="Arial Narrow" w:eastAsia="Arial Narrow" w:hAnsi="Arial Narrow" w:cs="Arial Narrow"/>
                <w:color w:val="000000" w:themeColor="text1"/>
                <w:sz w:val="24"/>
                <w:szCs w:val="24"/>
              </w:rPr>
              <w:t>Que dicha Resolución incluye el reconocimiento de derechos y revelación de activos contingentes, el reconocimiento de obligaciones y revelación de pasivos contingentes, así como el registro de los embargos, títulos judiciales y pago de sentencias.</w:t>
            </w:r>
          </w:p>
          <w:p w14:paraId="07C7CDA7" w14:textId="77777777" w:rsidR="00767624" w:rsidRPr="00767624" w:rsidRDefault="00767624" w:rsidP="00767624">
            <w:pPr>
              <w:adjustRightInd w:val="0"/>
              <w:jc w:val="both"/>
              <w:rPr>
                <w:rFonts w:ascii="Arial Narrow" w:eastAsia="Arial Narrow" w:hAnsi="Arial Narrow" w:cs="Arial Narrow"/>
                <w:color w:val="000000" w:themeColor="text1"/>
                <w:sz w:val="24"/>
                <w:szCs w:val="24"/>
              </w:rPr>
            </w:pPr>
          </w:p>
          <w:p w14:paraId="17292DC0" w14:textId="77777777" w:rsidR="00650735" w:rsidRPr="00C46096" w:rsidRDefault="00767624" w:rsidP="00767624">
            <w:pPr>
              <w:adjustRightInd w:val="0"/>
              <w:jc w:val="both"/>
              <w:rPr>
                <w:rFonts w:ascii="Arial Narrow" w:eastAsia="Arial Narrow" w:hAnsi="Arial Narrow" w:cs="Arial Narrow"/>
                <w:color w:val="000000" w:themeColor="text1"/>
                <w:sz w:val="24"/>
                <w:szCs w:val="24"/>
              </w:rPr>
            </w:pPr>
            <w:r w:rsidRPr="00767624">
              <w:rPr>
                <w:rFonts w:ascii="Arial Narrow" w:eastAsia="Arial Narrow" w:hAnsi="Arial Narrow" w:cs="Arial Narrow"/>
                <w:color w:val="000000" w:themeColor="text1"/>
                <w:sz w:val="24"/>
                <w:szCs w:val="24"/>
              </w:rPr>
              <w:lastRenderedPageBreak/>
              <w:t>Que mediante resolución 3907 del 29 de diciembre de 2017 Prosperidad Social adoptó el documento Políticas Contables bajo el Nuevo Marco Normativo de Contabilidad Pública como Entidad de Gobierno.</w:t>
            </w:r>
          </w:p>
        </w:tc>
      </w:tr>
      <w:tr w:rsidR="001F7812" w:rsidRPr="00C46096" w14:paraId="2E23D574" w14:textId="77777777" w:rsidTr="00A95921">
        <w:trPr>
          <w:trHeight w:val="3384"/>
        </w:trPr>
        <w:tc>
          <w:tcPr>
            <w:tcW w:w="2552" w:type="dxa"/>
            <w:vAlign w:val="center"/>
          </w:tcPr>
          <w:p w14:paraId="4DBD3DCC" w14:textId="77777777"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lastRenderedPageBreak/>
              <w:t>1.1 Las normas que otorgan la competencia para la expedición del correspondiente acto.</w:t>
            </w:r>
          </w:p>
        </w:tc>
        <w:tc>
          <w:tcPr>
            <w:tcW w:w="7371" w:type="dxa"/>
            <w:tcBorders>
              <w:top w:val="single" w:sz="4" w:space="0" w:color="auto"/>
            </w:tcBorders>
            <w:vAlign w:val="center"/>
          </w:tcPr>
          <w:p w14:paraId="6FF894B9" w14:textId="77777777" w:rsidR="00187E94" w:rsidRPr="00C46096" w:rsidRDefault="00187E94" w:rsidP="00187E94">
            <w:pPr>
              <w:pStyle w:val="Prrafodelista"/>
              <w:tabs>
                <w:tab w:val="left" w:pos="175"/>
              </w:tabs>
              <w:spacing w:line="240" w:lineRule="auto"/>
              <w:ind w:left="0"/>
              <w:jc w:val="both"/>
              <w:rPr>
                <w:rFonts w:ascii="Arial Narrow,Arial" w:eastAsia="Arial Narrow,Arial" w:hAnsi="Arial Narrow,Arial" w:cs="Arial Narrow,Arial"/>
                <w:sz w:val="24"/>
                <w:szCs w:val="24"/>
                <w:lang w:eastAsia="es-CO"/>
              </w:rPr>
            </w:pPr>
          </w:p>
          <w:p w14:paraId="2E6E6057" w14:textId="77777777" w:rsidR="008C15D8" w:rsidRDefault="008C15D8" w:rsidP="008C15D8">
            <w:pPr>
              <w:pStyle w:val="Prrafodelista"/>
              <w:numPr>
                <w:ilvl w:val="0"/>
                <w:numId w:val="8"/>
              </w:numPr>
              <w:tabs>
                <w:tab w:val="left" w:pos="175"/>
              </w:tabs>
              <w:spacing w:line="240" w:lineRule="auto"/>
              <w:jc w:val="both"/>
              <w:rPr>
                <w:rFonts w:ascii="Arial Narrow" w:eastAsia="Arial Narrow" w:hAnsi="Arial Narrow" w:cs="Arial Narrow"/>
                <w:sz w:val="24"/>
                <w:szCs w:val="24"/>
                <w:lang w:eastAsia="es-CO"/>
              </w:rPr>
            </w:pPr>
            <w:r>
              <w:rPr>
                <w:rFonts w:ascii="Arial Narrow" w:eastAsia="Arial Narrow" w:hAnsi="Arial Narrow" w:cs="Arial Narrow"/>
                <w:sz w:val="24"/>
                <w:szCs w:val="24"/>
                <w:lang w:eastAsia="es-CO"/>
              </w:rPr>
              <w:t>N</w:t>
            </w:r>
            <w:r w:rsidRPr="008C15D8">
              <w:rPr>
                <w:rFonts w:ascii="Arial Narrow" w:eastAsia="Arial Narrow" w:hAnsi="Arial Narrow" w:cs="Arial Narrow"/>
                <w:sz w:val="24"/>
                <w:szCs w:val="24"/>
                <w:lang w:eastAsia="es-CO"/>
              </w:rPr>
              <w:t>umeral 1 del artículo 10 del Decreto 2094 de 2016</w:t>
            </w:r>
            <w:r>
              <w:rPr>
                <w:rFonts w:ascii="Arial Narrow" w:eastAsia="Arial Narrow" w:hAnsi="Arial Narrow" w:cs="Arial Narrow"/>
                <w:sz w:val="24"/>
                <w:szCs w:val="24"/>
                <w:lang w:eastAsia="es-CO"/>
              </w:rPr>
              <w:t>.</w:t>
            </w:r>
          </w:p>
          <w:p w14:paraId="5B72A912" w14:textId="77777777" w:rsidR="00C554CB" w:rsidRPr="00C554CB" w:rsidRDefault="00B97E97" w:rsidP="00C554CB">
            <w:pPr>
              <w:pStyle w:val="Prrafodelista"/>
              <w:numPr>
                <w:ilvl w:val="0"/>
                <w:numId w:val="8"/>
              </w:numPr>
              <w:tabs>
                <w:tab w:val="left" w:pos="175"/>
              </w:tabs>
              <w:spacing w:line="240" w:lineRule="auto"/>
              <w:jc w:val="both"/>
              <w:rPr>
                <w:rFonts w:ascii="Arial Narrow" w:eastAsia="Arial Narrow" w:hAnsi="Arial Narrow" w:cs="Arial Narrow"/>
                <w:sz w:val="24"/>
                <w:szCs w:val="24"/>
                <w:lang w:eastAsia="es-CO"/>
              </w:rPr>
            </w:pPr>
            <w:r>
              <w:rPr>
                <w:rFonts w:ascii="Arial Narrow" w:eastAsia="Arial Narrow" w:hAnsi="Arial Narrow" w:cs="Arial Narrow"/>
                <w:sz w:val="24"/>
                <w:szCs w:val="24"/>
                <w:lang w:eastAsia="es-CO"/>
              </w:rPr>
              <w:t>A</w:t>
            </w:r>
            <w:r w:rsidR="00C554CB" w:rsidRPr="00C554CB">
              <w:rPr>
                <w:rFonts w:ascii="Arial Narrow" w:eastAsia="Arial Narrow" w:hAnsi="Arial Narrow" w:cs="Arial Narrow"/>
                <w:sz w:val="24"/>
                <w:szCs w:val="24"/>
                <w:lang w:eastAsia="es-CO"/>
              </w:rPr>
              <w:t xml:space="preserve">rtículo 1 de la Ley 448 de 1998 </w:t>
            </w:r>
            <w:r w:rsidR="00C554CB">
              <w:rPr>
                <w:rFonts w:ascii="Arial Narrow" w:eastAsia="Arial Narrow" w:hAnsi="Arial Narrow" w:cs="Arial Narrow"/>
                <w:sz w:val="24"/>
                <w:szCs w:val="24"/>
                <w:lang w:eastAsia="es-CO"/>
              </w:rPr>
              <w:t xml:space="preserve">que </w:t>
            </w:r>
            <w:r w:rsidR="00C554CB" w:rsidRPr="00C554CB">
              <w:rPr>
                <w:rFonts w:ascii="Arial Narrow" w:eastAsia="Arial Narrow" w:hAnsi="Arial Narrow" w:cs="Arial Narrow"/>
                <w:sz w:val="24"/>
                <w:szCs w:val="24"/>
                <w:lang w:eastAsia="es-CO"/>
              </w:rPr>
              <w:t>dispone que deben incluirse en el Presupuesto General de la Nación, las apropiaciones necesarias para cubrir los posibles fallos o sentencias definitivas en contra de la Entidad, para lo cual se debe implementar una metodología para evaluar el riesgo y estimar el valor a incluir en el presupuesto del Prosperidad Social por concepto de estas obligaciones</w:t>
            </w:r>
            <w:r w:rsidR="00C554CB">
              <w:rPr>
                <w:rFonts w:ascii="Arial Narrow" w:eastAsia="Arial Narrow" w:hAnsi="Arial Narrow" w:cs="Arial Narrow"/>
                <w:sz w:val="24"/>
                <w:szCs w:val="24"/>
                <w:lang w:eastAsia="es-CO"/>
              </w:rPr>
              <w:t>.</w:t>
            </w:r>
          </w:p>
          <w:p w14:paraId="487791DE" w14:textId="76B8C94E" w:rsidR="00187E94" w:rsidRPr="00C46096" w:rsidRDefault="00B97E97" w:rsidP="00A95921">
            <w:pPr>
              <w:pStyle w:val="Prrafodelista"/>
              <w:numPr>
                <w:ilvl w:val="0"/>
                <w:numId w:val="8"/>
              </w:numPr>
              <w:tabs>
                <w:tab w:val="left" w:pos="175"/>
              </w:tabs>
              <w:spacing w:line="240" w:lineRule="auto"/>
              <w:jc w:val="both"/>
              <w:rPr>
                <w:rFonts w:ascii="Arial Narrow,Arial" w:eastAsia="Arial Narrow,Arial" w:hAnsi="Arial Narrow,Arial" w:cs="Arial Narrow,Arial"/>
                <w:sz w:val="24"/>
                <w:szCs w:val="24"/>
                <w:lang w:eastAsia="es-CO"/>
              </w:rPr>
            </w:pPr>
            <w:r w:rsidRPr="00B97E97">
              <w:rPr>
                <w:rFonts w:ascii="Arial Narrow" w:eastAsia="Arial Narrow" w:hAnsi="Arial Narrow" w:cs="Arial Narrow"/>
                <w:sz w:val="24"/>
                <w:szCs w:val="24"/>
                <w:lang w:eastAsia="es-CO"/>
              </w:rPr>
              <w:t>Resolución 353 del 1 de noviembre de 2016, adoptó una “metodología de reconocido valor técnico para el cálculo de la provisión contable de los procesos judiciales, conciliaciones extrajudiciales y trámites arbitrales en contra de la entidad”</w:t>
            </w:r>
            <w:r w:rsidR="68AF5C58" w:rsidRPr="00C46096">
              <w:rPr>
                <w:rFonts w:ascii="Arial Narrow" w:eastAsia="Arial Narrow" w:hAnsi="Arial Narrow" w:cs="Arial Narrow"/>
                <w:sz w:val="24"/>
                <w:szCs w:val="24"/>
                <w:lang w:eastAsia="es-CO"/>
              </w:rPr>
              <w:t>.</w:t>
            </w:r>
          </w:p>
        </w:tc>
      </w:tr>
      <w:tr w:rsidR="001F7812" w:rsidRPr="00C46096" w14:paraId="0705E64A" w14:textId="77777777" w:rsidTr="68AF5C58">
        <w:tc>
          <w:tcPr>
            <w:tcW w:w="2552" w:type="dxa"/>
            <w:vAlign w:val="center"/>
          </w:tcPr>
          <w:p w14:paraId="2FC09AE2" w14:textId="77777777"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1.2 La vigencia de la ley o norma reglamentada o desarrollada.</w:t>
            </w:r>
          </w:p>
        </w:tc>
        <w:tc>
          <w:tcPr>
            <w:tcW w:w="7371" w:type="dxa"/>
            <w:vAlign w:val="center"/>
          </w:tcPr>
          <w:p w14:paraId="0B029E7B" w14:textId="77777777" w:rsidR="00172F71" w:rsidRPr="00C46096" w:rsidRDefault="00172F71" w:rsidP="00EF7DA8">
            <w:pPr>
              <w:ind w:left="30"/>
              <w:jc w:val="both"/>
              <w:rPr>
                <w:rFonts w:ascii="Arial Narrow" w:hAnsi="Arial Narrow" w:cs="Arial"/>
                <w:sz w:val="24"/>
                <w:szCs w:val="24"/>
              </w:rPr>
            </w:pPr>
          </w:p>
          <w:p w14:paraId="7E868802" w14:textId="17DC68A0" w:rsidR="006D213E" w:rsidRPr="00C46096" w:rsidRDefault="00CD5F45" w:rsidP="68AF5C58">
            <w:pPr>
              <w:ind w:left="30"/>
              <w:jc w:val="both"/>
              <w:rPr>
                <w:rFonts w:ascii="Arial Narrow,Arial" w:eastAsia="Arial Narrow,Arial" w:hAnsi="Arial Narrow,Arial" w:cs="Arial Narrow,Arial"/>
                <w:sz w:val="24"/>
                <w:szCs w:val="24"/>
              </w:rPr>
            </w:pPr>
            <w:r>
              <w:rPr>
                <w:rFonts w:ascii="Arial Narrow" w:eastAsia="Arial Narrow" w:hAnsi="Arial Narrow" w:cs="Arial Narrow"/>
                <w:sz w:val="24"/>
                <w:szCs w:val="24"/>
              </w:rPr>
              <w:t xml:space="preserve">Por solicitud del GIT de Contabilidad de la Subdirección Financiera, la Resolución </w:t>
            </w:r>
            <w:r w:rsidR="68AF5C58" w:rsidRPr="00C46096">
              <w:rPr>
                <w:rFonts w:ascii="Arial Narrow" w:eastAsia="Arial Narrow" w:hAnsi="Arial Narrow" w:cs="Arial Narrow"/>
                <w:sz w:val="24"/>
                <w:szCs w:val="24"/>
              </w:rPr>
              <w:t>regirá a partir</w:t>
            </w:r>
            <w:r w:rsidR="00B7631F">
              <w:rPr>
                <w:rFonts w:ascii="Arial Narrow" w:eastAsia="Arial Narrow" w:hAnsi="Arial Narrow" w:cs="Arial Narrow"/>
                <w:sz w:val="24"/>
                <w:szCs w:val="24"/>
              </w:rPr>
              <w:t xml:space="preserve"> de su publicación</w:t>
            </w:r>
            <w:r w:rsidR="68AF5C58" w:rsidRPr="00C46096">
              <w:rPr>
                <w:rFonts w:ascii="Arial Narrow" w:eastAsia="Arial Narrow" w:hAnsi="Arial Narrow" w:cs="Arial Narrow"/>
                <w:sz w:val="24"/>
                <w:szCs w:val="24"/>
              </w:rPr>
              <w:t xml:space="preserve">. </w:t>
            </w:r>
          </w:p>
          <w:p w14:paraId="0A1C9ED4" w14:textId="77777777" w:rsidR="00EF7DA8" w:rsidRPr="00C46096" w:rsidRDefault="00EF7DA8" w:rsidP="00EF7DA8">
            <w:pPr>
              <w:ind w:left="30"/>
              <w:jc w:val="both"/>
              <w:rPr>
                <w:rFonts w:ascii="Arial Narrow" w:hAnsi="Arial Narrow" w:cs="Arial"/>
                <w:sz w:val="24"/>
                <w:szCs w:val="24"/>
              </w:rPr>
            </w:pPr>
          </w:p>
        </w:tc>
      </w:tr>
      <w:tr w:rsidR="001F7812" w:rsidRPr="00C46096" w14:paraId="2FF79926" w14:textId="77777777" w:rsidTr="68AF5C58">
        <w:tc>
          <w:tcPr>
            <w:tcW w:w="2552" w:type="dxa"/>
            <w:vAlign w:val="center"/>
          </w:tcPr>
          <w:p w14:paraId="08604C00" w14:textId="77777777"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1.3 Las disposiciones derogadas, subrogadas, modificadas, adicionadas o sustituidas, si alguno de estos efectos se produce con la expedición del respectivo acto.</w:t>
            </w:r>
          </w:p>
        </w:tc>
        <w:tc>
          <w:tcPr>
            <w:tcW w:w="7371" w:type="dxa"/>
            <w:vAlign w:val="center"/>
          </w:tcPr>
          <w:p w14:paraId="7150486E" w14:textId="77777777" w:rsidR="00FE4805" w:rsidRPr="00C46096" w:rsidRDefault="00C23EEB" w:rsidP="68AF5C58">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Se deroga la </w:t>
            </w:r>
            <w:r w:rsidRPr="00C23EEB">
              <w:rPr>
                <w:rFonts w:ascii="Arial Narrow" w:eastAsia="Arial Narrow" w:hAnsi="Arial Narrow" w:cs="Arial Narrow"/>
                <w:sz w:val="24"/>
                <w:szCs w:val="24"/>
              </w:rPr>
              <w:t>Resolución No. 01965 del 22 de noviembre de 2012 y las demás que le sean contrarias</w:t>
            </w:r>
            <w:r>
              <w:rPr>
                <w:rFonts w:ascii="Arial Narrow" w:eastAsia="Arial Narrow" w:hAnsi="Arial Narrow" w:cs="Arial Narrow"/>
                <w:sz w:val="24"/>
                <w:szCs w:val="24"/>
              </w:rPr>
              <w:t>.</w:t>
            </w:r>
          </w:p>
        </w:tc>
      </w:tr>
      <w:tr w:rsidR="001F7812" w:rsidRPr="00C46096" w14:paraId="368E7E8F" w14:textId="77777777" w:rsidTr="68AF5C58">
        <w:tc>
          <w:tcPr>
            <w:tcW w:w="2552" w:type="dxa"/>
            <w:vAlign w:val="center"/>
          </w:tcPr>
          <w:p w14:paraId="48BB23F1" w14:textId="77777777"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2. El ámbito de aplicación del respectivo acto y los sujetos a quienes va dirigido</w:t>
            </w:r>
          </w:p>
        </w:tc>
        <w:tc>
          <w:tcPr>
            <w:tcW w:w="7371" w:type="dxa"/>
            <w:vAlign w:val="center"/>
          </w:tcPr>
          <w:p w14:paraId="4E5EA5EC" w14:textId="77777777" w:rsidR="005258C8" w:rsidRPr="00C46096" w:rsidRDefault="005258C8" w:rsidP="00AC0F06">
            <w:pPr>
              <w:jc w:val="both"/>
              <w:rPr>
                <w:rFonts w:ascii="Arial Narrow" w:eastAsia="Arial" w:hAnsi="Arial Narrow" w:cs="Arial"/>
                <w:sz w:val="24"/>
                <w:szCs w:val="24"/>
              </w:rPr>
            </w:pPr>
          </w:p>
          <w:p w14:paraId="2010329E" w14:textId="77777777" w:rsidR="004E6065" w:rsidRPr="004E6065" w:rsidRDefault="003D6179" w:rsidP="004E6065">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presente Resolución </w:t>
            </w:r>
            <w:r w:rsidR="68AF5C58" w:rsidRPr="00C46096">
              <w:rPr>
                <w:rFonts w:ascii="Arial Narrow" w:eastAsia="Arial Narrow" w:hAnsi="Arial Narrow" w:cs="Arial Narrow"/>
                <w:sz w:val="24"/>
                <w:szCs w:val="24"/>
              </w:rPr>
              <w:t>se encuentra dirigid</w:t>
            </w:r>
            <w:r w:rsidR="00E55474">
              <w:rPr>
                <w:rFonts w:ascii="Arial Narrow" w:eastAsia="Arial Narrow" w:hAnsi="Arial Narrow" w:cs="Arial Narrow"/>
                <w:sz w:val="24"/>
                <w:szCs w:val="24"/>
              </w:rPr>
              <w:t>a</w:t>
            </w:r>
            <w:r w:rsidR="68AF5C58" w:rsidRPr="00C46096">
              <w:rPr>
                <w:rFonts w:ascii="Arial Narrow" w:eastAsia="Arial Narrow" w:hAnsi="Arial Narrow" w:cs="Arial Narrow"/>
                <w:sz w:val="24"/>
                <w:szCs w:val="24"/>
              </w:rPr>
              <w:t xml:space="preserve"> a</w:t>
            </w:r>
            <w:r w:rsidR="004E6065">
              <w:rPr>
                <w:rFonts w:ascii="Arial Narrow" w:eastAsia="Arial Narrow" w:hAnsi="Arial Narrow" w:cs="Arial Narrow"/>
                <w:sz w:val="24"/>
                <w:szCs w:val="24"/>
              </w:rPr>
              <w:t xml:space="preserve"> </w:t>
            </w:r>
            <w:r w:rsidR="004E6065" w:rsidRPr="004E6065">
              <w:rPr>
                <w:rFonts w:ascii="Arial Narrow" w:eastAsia="Arial Narrow" w:hAnsi="Arial Narrow" w:cs="Arial Narrow"/>
                <w:sz w:val="24"/>
                <w:szCs w:val="24"/>
              </w:rPr>
              <w:t>los abogados internos y externos de la Oficina Asesora Jurídica de Prosperidad Social, para el adecuado y oportuno suministro de información litigiosa como complemento del proceso contable.</w:t>
            </w:r>
          </w:p>
          <w:p w14:paraId="28728FBF" w14:textId="77777777" w:rsidR="004E6065" w:rsidRPr="004E6065" w:rsidRDefault="004E6065" w:rsidP="004E6065">
            <w:pPr>
              <w:jc w:val="both"/>
              <w:rPr>
                <w:rFonts w:ascii="Arial Narrow" w:eastAsia="Arial Narrow" w:hAnsi="Arial Narrow" w:cs="Arial Narrow"/>
                <w:sz w:val="24"/>
                <w:szCs w:val="24"/>
              </w:rPr>
            </w:pPr>
          </w:p>
          <w:p w14:paraId="4E015CA4" w14:textId="77777777" w:rsidR="0A0010FA" w:rsidRPr="00C46096" w:rsidRDefault="004E6065" w:rsidP="004E6065">
            <w:pPr>
              <w:jc w:val="both"/>
              <w:rPr>
                <w:rFonts w:ascii="Arial Narrow,Arial" w:eastAsia="Arial Narrow,Arial" w:hAnsi="Arial Narrow,Arial" w:cs="Arial Narrow,Arial"/>
                <w:sz w:val="24"/>
                <w:szCs w:val="24"/>
              </w:rPr>
            </w:pPr>
            <w:r w:rsidRPr="004E6065">
              <w:rPr>
                <w:rFonts w:ascii="Arial Narrow" w:eastAsia="Arial Narrow" w:hAnsi="Arial Narrow" w:cs="Arial Narrow"/>
                <w:sz w:val="24"/>
                <w:szCs w:val="24"/>
              </w:rPr>
              <w:t xml:space="preserve">De igual manera, </w:t>
            </w:r>
            <w:r w:rsidR="00D83D41">
              <w:rPr>
                <w:rFonts w:ascii="Arial Narrow" w:eastAsia="Arial Narrow" w:hAnsi="Arial Narrow" w:cs="Arial Narrow"/>
                <w:sz w:val="24"/>
                <w:szCs w:val="24"/>
              </w:rPr>
              <w:t xml:space="preserve">la </w:t>
            </w:r>
            <w:r w:rsidRPr="004E6065">
              <w:rPr>
                <w:rFonts w:ascii="Arial Narrow" w:eastAsia="Arial Narrow" w:hAnsi="Arial Narrow" w:cs="Arial Narrow"/>
                <w:sz w:val="24"/>
                <w:szCs w:val="24"/>
              </w:rPr>
              <w:t>guía debe ser aplicada por las diferentes dependencias obligadas al suministro de información a la Oficina Asesora Jurídica respecto de embargos de cuentas bancarias de Prosperidad Social, inicio de cobros coactivos contra la entidad, y demás situaciones que deban ser del conocimiento de dicha Oficina.</w:t>
            </w:r>
          </w:p>
          <w:p w14:paraId="69E94F27" w14:textId="77777777" w:rsidR="006D213E" w:rsidRPr="00C46096" w:rsidRDefault="006D213E" w:rsidP="00AC0F06">
            <w:pPr>
              <w:jc w:val="both"/>
              <w:rPr>
                <w:rFonts w:ascii="Arial Narrow" w:hAnsi="Arial Narrow" w:cs="Arial"/>
                <w:sz w:val="24"/>
                <w:szCs w:val="24"/>
              </w:rPr>
            </w:pPr>
          </w:p>
        </w:tc>
      </w:tr>
      <w:tr w:rsidR="001F7812" w:rsidRPr="00C46096" w14:paraId="632B99C8" w14:textId="77777777" w:rsidTr="68AF5C58">
        <w:trPr>
          <w:trHeight w:val="942"/>
        </w:trPr>
        <w:tc>
          <w:tcPr>
            <w:tcW w:w="2552" w:type="dxa"/>
            <w:shd w:val="clear" w:color="auto" w:fill="auto"/>
            <w:vAlign w:val="center"/>
          </w:tcPr>
          <w:p w14:paraId="139A034D" w14:textId="77777777" w:rsidR="006D213E" w:rsidRPr="00C46096" w:rsidRDefault="68AF5C58" w:rsidP="68AF5C58">
            <w:pPr>
              <w:rPr>
                <w:rFonts w:ascii="Arial Narrow,Arial" w:eastAsia="Arial Narrow,Arial" w:hAnsi="Arial Narrow,Arial" w:cs="Arial Narrow,Arial"/>
                <w:b/>
                <w:bCs/>
                <w:color w:val="000000" w:themeColor="text1"/>
                <w:sz w:val="24"/>
                <w:szCs w:val="24"/>
                <w:lang w:val="es-CO"/>
              </w:rPr>
            </w:pPr>
            <w:r w:rsidRPr="00C46096">
              <w:rPr>
                <w:rFonts w:ascii="Arial Narrow" w:eastAsia="Arial Narrow" w:hAnsi="Arial Narrow" w:cs="Arial Narrow"/>
                <w:b/>
                <w:bCs/>
                <w:color w:val="000000" w:themeColor="text1"/>
                <w:sz w:val="24"/>
                <w:szCs w:val="24"/>
                <w:lang w:val="es-CO"/>
              </w:rPr>
              <w:t xml:space="preserve">3. La viabilidad jurídica, que deberá contar con el visto bueno de la oficina jurídica de la entidad o la dependencia que haga sus veces </w:t>
            </w:r>
          </w:p>
        </w:tc>
        <w:tc>
          <w:tcPr>
            <w:tcW w:w="7371" w:type="dxa"/>
            <w:vAlign w:val="center"/>
          </w:tcPr>
          <w:p w14:paraId="167D622A" w14:textId="5745D87B" w:rsidR="00806DF8" w:rsidRPr="007F4C69" w:rsidRDefault="007F4C69" w:rsidP="00EE5A90">
            <w:pPr>
              <w:jc w:val="both"/>
              <w:rPr>
                <w:rFonts w:ascii="Arial Narrow,Calibri" w:eastAsia="Arial Narrow,Calibri" w:hAnsi="Arial Narrow,Calibri" w:cs="Arial Narrow,Calibri"/>
                <w:color w:val="000000" w:themeColor="text1"/>
                <w:sz w:val="24"/>
                <w:szCs w:val="24"/>
                <w:lang w:val="es-CO" w:eastAsia="en-US"/>
              </w:rPr>
            </w:pPr>
            <w:r>
              <w:rPr>
                <w:rFonts w:ascii="Arial Narrow,Calibri" w:eastAsia="Arial Narrow,Calibri" w:hAnsi="Arial Narrow,Calibri" w:cs="Arial Narrow,Calibri"/>
                <w:color w:val="000000" w:themeColor="text1"/>
                <w:sz w:val="24"/>
                <w:szCs w:val="24"/>
                <w:lang w:val="es-CO" w:eastAsia="en-US"/>
              </w:rPr>
              <w:t>Teniendo en cuenta q</w:t>
            </w:r>
            <w:r w:rsidRPr="007F4C69">
              <w:rPr>
                <w:rFonts w:ascii="Arial Narrow,Calibri" w:eastAsia="Arial Narrow,Calibri" w:hAnsi="Arial Narrow,Calibri" w:cs="Arial Narrow,Calibri"/>
                <w:color w:val="000000" w:themeColor="text1"/>
                <w:sz w:val="24"/>
                <w:szCs w:val="24"/>
                <w:lang w:val="es-CO" w:eastAsia="en-US"/>
              </w:rPr>
              <w:t xml:space="preserve">ue la Agencia Nacional de Defensa Jurídica del Estado mediante Resolución 353 del 1 de noviembre de 2016, adoptó una </w:t>
            </w:r>
            <w:r w:rsidRPr="003D2DF8">
              <w:rPr>
                <w:rFonts w:ascii="Arial Narrow,Calibri" w:eastAsia="Arial Narrow,Calibri" w:hAnsi="Arial Narrow,Calibri" w:cs="Arial Narrow,Calibri"/>
                <w:i/>
                <w:color w:val="000000" w:themeColor="text1"/>
                <w:sz w:val="24"/>
                <w:szCs w:val="24"/>
                <w:lang w:val="es-CO" w:eastAsia="en-US"/>
              </w:rPr>
              <w:t>“metodología de reconocido valor técnico para el cálculo de la provisión contable de los procesos judiciales, conciliaciones extrajudiciales y trámites arbitrales en contra de la entidad”</w:t>
            </w:r>
            <w:r w:rsidR="00305B62">
              <w:rPr>
                <w:rFonts w:ascii="Arial Narrow,Calibri" w:eastAsia="Arial Narrow,Calibri" w:hAnsi="Arial Narrow,Calibri" w:cs="Arial Narrow,Calibri"/>
                <w:color w:val="000000" w:themeColor="text1"/>
                <w:sz w:val="24"/>
                <w:szCs w:val="24"/>
                <w:lang w:val="es-CO" w:eastAsia="en-US"/>
              </w:rPr>
              <w:t xml:space="preserve">, así como </w:t>
            </w:r>
            <w:r w:rsidRPr="007F4C69">
              <w:rPr>
                <w:rFonts w:ascii="Arial Narrow,Calibri" w:eastAsia="Arial Narrow,Calibri" w:hAnsi="Arial Narrow,Calibri" w:cs="Arial Narrow,Calibri"/>
                <w:color w:val="000000" w:themeColor="text1"/>
                <w:sz w:val="24"/>
                <w:szCs w:val="24"/>
                <w:lang w:val="es-CO" w:eastAsia="en-US"/>
              </w:rPr>
              <w:t xml:space="preserve">la Resolución 116 del 6 de abril de 2017, emitida por la Contaduría General de la Nación, </w:t>
            </w:r>
            <w:r w:rsidR="00BF778E">
              <w:rPr>
                <w:rFonts w:ascii="Arial Narrow,Calibri" w:eastAsia="Arial Narrow,Calibri" w:hAnsi="Arial Narrow,Calibri" w:cs="Arial Narrow,Calibri"/>
                <w:color w:val="000000" w:themeColor="text1"/>
                <w:sz w:val="24"/>
                <w:szCs w:val="24"/>
                <w:lang w:val="es-CO" w:eastAsia="en-US"/>
              </w:rPr>
              <w:t xml:space="preserve">en la cual </w:t>
            </w:r>
            <w:r w:rsidRPr="007F4C69">
              <w:rPr>
                <w:rFonts w:ascii="Arial Narrow,Calibri" w:eastAsia="Arial Narrow,Calibri" w:hAnsi="Arial Narrow,Calibri" w:cs="Arial Narrow,Calibri"/>
                <w:color w:val="000000" w:themeColor="text1"/>
                <w:sz w:val="24"/>
                <w:szCs w:val="24"/>
                <w:lang w:val="es-CO" w:eastAsia="en-US"/>
              </w:rPr>
              <w:t xml:space="preserve">fue incorporado al </w:t>
            </w:r>
            <w:r w:rsidRPr="003D2DF8">
              <w:rPr>
                <w:rFonts w:ascii="Arial Narrow,Calibri" w:eastAsia="Arial Narrow,Calibri" w:hAnsi="Arial Narrow,Calibri" w:cs="Arial Narrow,Calibri"/>
                <w:i/>
                <w:color w:val="000000" w:themeColor="text1"/>
                <w:sz w:val="24"/>
                <w:szCs w:val="24"/>
                <w:lang w:val="es-CO" w:eastAsia="en-US"/>
              </w:rPr>
              <w:t>“Marco Normativo para Entidades de Gobierno, el Procedimiento contable para el registro de los procesos judiciales, arbitrajes, conciliaciones extrajudiciales y embargos sobre cuentas bancarias…”</w:t>
            </w:r>
            <w:r w:rsidR="00EE5A90">
              <w:rPr>
                <w:rFonts w:ascii="Arial Narrow,Calibri" w:eastAsia="Arial Narrow,Calibri" w:hAnsi="Arial Narrow,Calibri" w:cs="Arial Narrow,Calibri"/>
                <w:color w:val="000000" w:themeColor="text1"/>
                <w:sz w:val="24"/>
                <w:szCs w:val="24"/>
                <w:lang w:val="es-CO" w:eastAsia="en-US"/>
              </w:rPr>
              <w:t xml:space="preserve">, es viable </w:t>
            </w:r>
            <w:r w:rsidR="003D2DF8">
              <w:rPr>
                <w:rFonts w:ascii="Arial Narrow,Calibri" w:eastAsia="Arial Narrow,Calibri" w:hAnsi="Arial Narrow,Calibri" w:cs="Arial Narrow,Calibri"/>
                <w:color w:val="000000" w:themeColor="text1"/>
                <w:sz w:val="24"/>
                <w:szCs w:val="24"/>
                <w:lang w:val="es-CO" w:eastAsia="en-US"/>
              </w:rPr>
              <w:t xml:space="preserve">para la Entidad adoptar este procedimiento a </w:t>
            </w:r>
            <w:r w:rsidR="003D2DF8">
              <w:rPr>
                <w:rFonts w:ascii="Arial Narrow,Calibri" w:eastAsia="Arial Narrow,Calibri" w:hAnsi="Arial Narrow,Calibri" w:cs="Arial Narrow,Calibri"/>
                <w:color w:val="000000" w:themeColor="text1"/>
                <w:sz w:val="24"/>
                <w:szCs w:val="24"/>
                <w:lang w:val="es-CO" w:eastAsia="en-US"/>
              </w:rPr>
              <w:lastRenderedPageBreak/>
              <w:t xml:space="preserve">través de </w:t>
            </w:r>
            <w:r w:rsidR="00EE5A90">
              <w:rPr>
                <w:rFonts w:ascii="Arial Narrow,Calibri" w:eastAsia="Arial Narrow,Calibri" w:hAnsi="Arial Narrow,Calibri" w:cs="Arial Narrow,Calibri"/>
                <w:color w:val="000000" w:themeColor="text1"/>
                <w:sz w:val="24"/>
                <w:szCs w:val="24"/>
                <w:lang w:val="es-CO" w:eastAsia="en-US"/>
              </w:rPr>
              <w:t xml:space="preserve">la guía para </w:t>
            </w:r>
            <w:r w:rsidRPr="007F4C69">
              <w:rPr>
                <w:rFonts w:ascii="Arial Narrow,Calibri" w:eastAsia="Arial Narrow,Calibri" w:hAnsi="Arial Narrow,Calibri" w:cs="Arial Narrow,Calibri"/>
                <w:color w:val="000000" w:themeColor="text1"/>
                <w:sz w:val="24"/>
                <w:szCs w:val="24"/>
                <w:lang w:val="es-CO" w:eastAsia="en-US"/>
              </w:rPr>
              <w:t>el reconocimiento de derechos y revelación de activos contingentes, el reconocimiento de obligaciones y revelación de pasivos contingentes, así como el registro de los embargos, títulos judiciales y pago de sentencias.</w:t>
            </w:r>
            <w:bookmarkStart w:id="0" w:name="_GoBack"/>
            <w:bookmarkEnd w:id="0"/>
          </w:p>
        </w:tc>
      </w:tr>
      <w:tr w:rsidR="001F7812" w:rsidRPr="00C46096" w14:paraId="367A7A1D" w14:textId="77777777" w:rsidTr="68AF5C58">
        <w:trPr>
          <w:trHeight w:val="1180"/>
        </w:trPr>
        <w:tc>
          <w:tcPr>
            <w:tcW w:w="2552" w:type="dxa"/>
            <w:shd w:val="clear" w:color="auto" w:fill="auto"/>
            <w:vAlign w:val="center"/>
          </w:tcPr>
          <w:p w14:paraId="1AB77429" w14:textId="77777777"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lastRenderedPageBreak/>
              <w:t>4. Impacto económico si fuere el caso, el cual deberá señalar el costo o ahorro, de la implementación del respectivo acto.</w:t>
            </w:r>
          </w:p>
        </w:tc>
        <w:tc>
          <w:tcPr>
            <w:tcW w:w="7371" w:type="dxa"/>
            <w:vAlign w:val="center"/>
          </w:tcPr>
          <w:p w14:paraId="0AF00EF5" w14:textId="77777777" w:rsidR="00841635" w:rsidRPr="00C46096" w:rsidRDefault="000D1EB3" w:rsidP="000D1EB3">
            <w:pPr>
              <w:jc w:val="both"/>
              <w:rPr>
                <w:rFonts w:ascii="Arial Narrow,Arial" w:eastAsia="Arial Narrow,Arial" w:hAnsi="Arial Narrow,Arial" w:cs="Arial Narrow,Arial"/>
                <w:sz w:val="24"/>
                <w:szCs w:val="24"/>
              </w:rPr>
            </w:pPr>
            <w:r>
              <w:rPr>
                <w:rFonts w:ascii="Arial Narrow,Arial" w:eastAsia="Arial Narrow,Arial" w:hAnsi="Arial Narrow,Arial" w:cs="Arial Narrow,Arial"/>
                <w:sz w:val="24"/>
                <w:szCs w:val="24"/>
              </w:rPr>
              <w:t xml:space="preserve">No se observa que la expedición de la Resolución </w:t>
            </w:r>
            <w:r w:rsidR="00B717EF">
              <w:rPr>
                <w:rFonts w:ascii="Arial Narrow,Arial" w:eastAsia="Arial Narrow,Arial" w:hAnsi="Arial Narrow,Arial" w:cs="Arial Narrow,Arial"/>
                <w:sz w:val="24"/>
                <w:szCs w:val="24"/>
              </w:rPr>
              <w:t>tenga un impacto económico.</w:t>
            </w:r>
          </w:p>
        </w:tc>
      </w:tr>
      <w:tr w:rsidR="001F7812" w:rsidRPr="00C46096" w14:paraId="47C503D4" w14:textId="77777777" w:rsidTr="68AF5C58">
        <w:tc>
          <w:tcPr>
            <w:tcW w:w="2552" w:type="dxa"/>
            <w:vAlign w:val="center"/>
          </w:tcPr>
          <w:p w14:paraId="13AB6B5A" w14:textId="77777777"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 xml:space="preserve">5. Disponibilidad presupuestal </w:t>
            </w:r>
          </w:p>
        </w:tc>
        <w:tc>
          <w:tcPr>
            <w:tcW w:w="7371" w:type="dxa"/>
            <w:vAlign w:val="center"/>
          </w:tcPr>
          <w:p w14:paraId="324213BE" w14:textId="77777777" w:rsidR="00673B22" w:rsidRPr="00C46096" w:rsidRDefault="00673B22" w:rsidP="008F1F2A">
            <w:pPr>
              <w:jc w:val="both"/>
              <w:rPr>
                <w:rFonts w:ascii="Arial Narrow" w:eastAsia="Arial" w:hAnsi="Arial Narrow" w:cs="Arial"/>
                <w:sz w:val="24"/>
                <w:szCs w:val="24"/>
              </w:rPr>
            </w:pPr>
          </w:p>
          <w:p w14:paraId="2BFC34C5" w14:textId="77777777" w:rsidR="00673B22" w:rsidRPr="00C46096" w:rsidRDefault="00BC2C82" w:rsidP="0F6777E5">
            <w:pPr>
              <w:jc w:val="both"/>
              <w:rPr>
                <w:rFonts w:ascii="Arial Narrow,Arial" w:eastAsia="Arial Narrow,Arial" w:hAnsi="Arial Narrow,Arial" w:cs="Arial Narrow,Arial"/>
                <w:sz w:val="24"/>
                <w:szCs w:val="24"/>
                <w:lang w:val="es-CO"/>
              </w:rPr>
            </w:pPr>
            <w:r>
              <w:rPr>
                <w:rFonts w:ascii="Arial Narrow" w:eastAsia="Arial Narrow" w:hAnsi="Arial Narrow" w:cs="Arial Narrow"/>
                <w:sz w:val="24"/>
                <w:szCs w:val="24"/>
                <w:lang w:val="es-CO"/>
              </w:rPr>
              <w:t>No requiere.</w:t>
            </w:r>
          </w:p>
          <w:p w14:paraId="05812DC1" w14:textId="77777777" w:rsidR="00673B22" w:rsidRPr="00C46096" w:rsidRDefault="00673B22" w:rsidP="00673B22">
            <w:pPr>
              <w:jc w:val="both"/>
              <w:rPr>
                <w:rFonts w:ascii="Arial Narrow" w:eastAsia="Arial" w:hAnsi="Arial Narrow" w:cs="Arial"/>
                <w:sz w:val="24"/>
                <w:szCs w:val="24"/>
                <w:lang w:val="es-CO"/>
              </w:rPr>
            </w:pPr>
          </w:p>
        </w:tc>
      </w:tr>
      <w:tr w:rsidR="001F7812" w:rsidRPr="00C46096" w14:paraId="06680D0B" w14:textId="77777777" w:rsidTr="68AF5C58">
        <w:tc>
          <w:tcPr>
            <w:tcW w:w="2552" w:type="dxa"/>
            <w:vAlign w:val="center"/>
          </w:tcPr>
          <w:p w14:paraId="6C30B720" w14:textId="77777777"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6. Impacto medioambiental o sobre el patrimonio cultural de la Nación.</w:t>
            </w:r>
          </w:p>
        </w:tc>
        <w:tc>
          <w:tcPr>
            <w:tcW w:w="7371" w:type="dxa"/>
            <w:vAlign w:val="center"/>
          </w:tcPr>
          <w:p w14:paraId="23EE4209" w14:textId="77777777" w:rsidR="006D213E" w:rsidRPr="00C46096" w:rsidRDefault="68AF5C58" w:rsidP="68AF5C58">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sz w:val="24"/>
                <w:szCs w:val="24"/>
              </w:rPr>
              <w:t>No genera impacto ambiental.</w:t>
            </w:r>
          </w:p>
        </w:tc>
      </w:tr>
      <w:tr w:rsidR="006D213E" w:rsidRPr="00C46096" w14:paraId="6980EDDF" w14:textId="77777777" w:rsidTr="007957AE">
        <w:trPr>
          <w:trHeight w:val="1609"/>
        </w:trPr>
        <w:tc>
          <w:tcPr>
            <w:tcW w:w="2552" w:type="dxa"/>
            <w:vAlign w:val="center"/>
          </w:tcPr>
          <w:p w14:paraId="60C91432" w14:textId="77777777"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 xml:space="preserve">7. El cumplimiento de los requisitos de consulta y publicidad </w:t>
            </w:r>
          </w:p>
        </w:tc>
        <w:tc>
          <w:tcPr>
            <w:tcW w:w="7371" w:type="dxa"/>
            <w:shd w:val="clear" w:color="auto" w:fill="auto"/>
            <w:vAlign w:val="center"/>
          </w:tcPr>
          <w:p w14:paraId="1D189AA8" w14:textId="77777777" w:rsidR="00005FFF" w:rsidRPr="00C46096" w:rsidRDefault="00005FFF" w:rsidP="00ED70D8">
            <w:pPr>
              <w:jc w:val="both"/>
              <w:rPr>
                <w:rFonts w:ascii="Arial Narrow" w:eastAsia="Arial" w:hAnsi="Arial Narrow" w:cs="Arial"/>
                <w:sz w:val="24"/>
                <w:szCs w:val="24"/>
              </w:rPr>
            </w:pPr>
          </w:p>
          <w:p w14:paraId="53F1E65D" w14:textId="77777777" w:rsidR="002549F5"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 xml:space="preserve">De acuerdo con su contenido, el proyecto de </w:t>
            </w:r>
            <w:r w:rsidR="00071E57">
              <w:rPr>
                <w:rFonts w:ascii="Arial Narrow" w:eastAsia="Arial Narrow" w:hAnsi="Arial Narrow" w:cs="Arial Narrow"/>
                <w:sz w:val="24"/>
                <w:szCs w:val="24"/>
              </w:rPr>
              <w:t>Resolución</w:t>
            </w:r>
            <w:r w:rsidRPr="00C46096">
              <w:rPr>
                <w:rFonts w:ascii="Arial Narrow" w:eastAsia="Arial Narrow" w:hAnsi="Arial Narrow" w:cs="Arial Narrow"/>
                <w:sz w:val="24"/>
                <w:szCs w:val="24"/>
              </w:rPr>
              <w:t xml:space="preserve"> no es una decisión administrativa </w:t>
            </w:r>
            <w:r w:rsidR="00535E93">
              <w:rPr>
                <w:rFonts w:ascii="Arial Narrow" w:eastAsia="Arial Narrow" w:hAnsi="Arial Narrow" w:cs="Arial Narrow"/>
                <w:sz w:val="24"/>
                <w:szCs w:val="24"/>
              </w:rPr>
              <w:t xml:space="preserve">que requiera </w:t>
            </w:r>
            <w:r w:rsidRPr="00C46096">
              <w:rPr>
                <w:rFonts w:ascii="Arial Narrow" w:eastAsia="Arial Narrow" w:hAnsi="Arial Narrow" w:cs="Arial Narrow"/>
                <w:sz w:val="24"/>
                <w:szCs w:val="24"/>
              </w:rPr>
              <w:t>consulta previa</w:t>
            </w:r>
            <w:r w:rsidRPr="00C46096">
              <w:rPr>
                <w:rFonts w:ascii="Arial Narrow,Arial" w:eastAsia="Arial Narrow,Arial" w:hAnsi="Arial Narrow,Arial" w:cs="Arial Narrow,Arial"/>
                <w:sz w:val="24"/>
                <w:szCs w:val="24"/>
              </w:rPr>
              <w:t>.</w:t>
            </w:r>
          </w:p>
          <w:p w14:paraId="021F54A2" w14:textId="77777777" w:rsidR="002549F5" w:rsidRPr="00C46096" w:rsidRDefault="002549F5" w:rsidP="00ED70D8">
            <w:pPr>
              <w:jc w:val="both"/>
              <w:rPr>
                <w:rFonts w:ascii="Arial Narrow" w:eastAsia="Arial" w:hAnsi="Arial Narrow" w:cs="Arial"/>
                <w:sz w:val="24"/>
                <w:szCs w:val="24"/>
              </w:rPr>
            </w:pPr>
          </w:p>
          <w:p w14:paraId="06FE6BF9" w14:textId="77777777" w:rsidR="002549F5" w:rsidRPr="00C46096" w:rsidRDefault="002549F5" w:rsidP="00BB3388">
            <w:pPr>
              <w:jc w:val="both"/>
              <w:rPr>
                <w:rFonts w:ascii="Arial Narrow" w:eastAsia="Arial" w:hAnsi="Arial Narrow" w:cs="Arial"/>
                <w:sz w:val="24"/>
                <w:szCs w:val="24"/>
              </w:rPr>
            </w:pPr>
          </w:p>
        </w:tc>
      </w:tr>
      <w:tr w:rsidR="001F7812" w:rsidRPr="00C46096" w14:paraId="1DB6CD36" w14:textId="77777777" w:rsidTr="68AF5C58">
        <w:tc>
          <w:tcPr>
            <w:tcW w:w="2552" w:type="dxa"/>
            <w:vAlign w:val="center"/>
          </w:tcPr>
          <w:p w14:paraId="1232809C" w14:textId="77777777" w:rsidR="00F43FCD"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8. Cualquier otro aspecto que la entidad remitente considere relevante o de importancia para la adopción de la decisión.</w:t>
            </w:r>
          </w:p>
        </w:tc>
        <w:tc>
          <w:tcPr>
            <w:tcW w:w="7371" w:type="dxa"/>
            <w:vAlign w:val="center"/>
          </w:tcPr>
          <w:p w14:paraId="367CADD9" w14:textId="77777777" w:rsidR="00005FFF" w:rsidRPr="00C46096" w:rsidRDefault="00005FFF" w:rsidP="00187E94">
            <w:pPr>
              <w:jc w:val="both"/>
              <w:rPr>
                <w:rFonts w:ascii="Arial Narrow" w:eastAsia="Arial" w:hAnsi="Arial Narrow" w:cs="Arial"/>
                <w:sz w:val="24"/>
                <w:szCs w:val="24"/>
              </w:rPr>
            </w:pPr>
          </w:p>
          <w:p w14:paraId="68263B1E" w14:textId="77777777" w:rsidR="002549F5" w:rsidRPr="00C46096" w:rsidRDefault="68AF5C58" w:rsidP="68AF5C58">
            <w:pPr>
              <w:jc w:val="both"/>
              <w:rPr>
                <w:rFonts w:ascii="Arial Narrow,Arial" w:eastAsia="Arial Narrow,Arial" w:hAnsi="Arial Narrow,Arial" w:cs="Arial Narrow,Arial"/>
                <w:sz w:val="24"/>
                <w:szCs w:val="24"/>
              </w:rPr>
            </w:pPr>
            <w:r w:rsidRPr="00C46096">
              <w:rPr>
                <w:rFonts w:ascii="Arial Narrow,Arial" w:eastAsia="Arial Narrow,Arial" w:hAnsi="Arial Narrow,Arial" w:cs="Arial Narrow,Arial"/>
                <w:sz w:val="24"/>
                <w:szCs w:val="24"/>
              </w:rPr>
              <w:t xml:space="preserve">No es necesario tener en consideración otros aspectos diferentes a los contemplados en el Proyecto de </w:t>
            </w:r>
            <w:r w:rsidR="00F269BC">
              <w:rPr>
                <w:rFonts w:ascii="Arial Narrow,Arial" w:eastAsia="Arial Narrow,Arial" w:hAnsi="Arial Narrow,Arial" w:cs="Arial Narrow,Arial"/>
                <w:sz w:val="24"/>
                <w:szCs w:val="24"/>
              </w:rPr>
              <w:t>Resolución</w:t>
            </w:r>
            <w:r w:rsidRPr="00C46096">
              <w:rPr>
                <w:rFonts w:ascii="Arial Narrow,Arial" w:eastAsia="Arial Narrow,Arial" w:hAnsi="Arial Narrow,Arial" w:cs="Arial Narrow,Arial"/>
                <w:sz w:val="24"/>
                <w:szCs w:val="24"/>
              </w:rPr>
              <w:t>.</w:t>
            </w:r>
          </w:p>
        </w:tc>
      </w:tr>
      <w:tr w:rsidR="008212CE" w:rsidRPr="00C46096" w14:paraId="2454A918" w14:textId="77777777" w:rsidTr="68AF5C58">
        <w:trPr>
          <w:trHeight w:val="739"/>
        </w:trPr>
        <w:tc>
          <w:tcPr>
            <w:tcW w:w="9923" w:type="dxa"/>
            <w:gridSpan w:val="2"/>
            <w:vAlign w:val="center"/>
          </w:tcPr>
          <w:p w14:paraId="08EB45E5" w14:textId="77777777" w:rsidR="008212CE" w:rsidRPr="00C46096" w:rsidRDefault="68AF5C58" w:rsidP="68AF5C58">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b/>
                <w:bCs/>
                <w:sz w:val="24"/>
                <w:szCs w:val="24"/>
                <w:lang w:val="es-CO"/>
              </w:rPr>
              <w:t>9. Seguridad Jurídica:</w:t>
            </w:r>
            <w:r w:rsidRPr="00C46096">
              <w:rPr>
                <w:rFonts w:ascii="Arial Narrow" w:eastAsia="Arial Narrow" w:hAnsi="Arial Narrow" w:cs="Arial Narrow"/>
                <w:sz w:val="24"/>
                <w:szCs w:val="24"/>
                <w:lang w:val="es-CO"/>
              </w:rPr>
              <w:t xml:space="preserve"> Dentro del año inmediatamente anterior ya se había reglamentado la misma materia: </w:t>
            </w:r>
          </w:p>
          <w:p w14:paraId="44E51B49" w14:textId="77777777" w:rsidR="008212CE" w:rsidRPr="00C46096" w:rsidRDefault="68AF5C58" w:rsidP="68AF5C58">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sz w:val="24"/>
                <w:szCs w:val="24"/>
                <w:lang w:val="es-CO"/>
              </w:rPr>
              <w:t xml:space="preserve">SI: </w:t>
            </w:r>
            <w:r w:rsidRPr="00C46096">
              <w:rPr>
                <w:rFonts w:ascii="Arial Narrow,Arial" w:eastAsia="Arial Narrow,Arial" w:hAnsi="Arial Narrow,Arial" w:cs="Arial Narrow,Arial"/>
                <w:b/>
                <w:bCs/>
                <w:sz w:val="24"/>
                <w:szCs w:val="24"/>
                <w:lang w:val="es-CO"/>
              </w:rPr>
              <w:t>____</w:t>
            </w:r>
            <w:r w:rsidRPr="00C46096">
              <w:rPr>
                <w:rFonts w:ascii="Arial Narrow,Arial" w:eastAsia="Arial Narrow,Arial" w:hAnsi="Arial Narrow,Arial" w:cs="Arial Narrow,Arial"/>
                <w:sz w:val="24"/>
                <w:szCs w:val="24"/>
                <w:lang w:val="es-CO"/>
              </w:rPr>
              <w:t xml:space="preserve">                   </w:t>
            </w:r>
            <w:r w:rsidRPr="00C46096">
              <w:rPr>
                <w:rFonts w:ascii="Arial Narrow" w:eastAsia="Arial Narrow" w:hAnsi="Arial Narrow" w:cs="Arial Narrow"/>
                <w:b/>
                <w:bCs/>
                <w:sz w:val="24"/>
                <w:szCs w:val="24"/>
                <w:lang w:val="es-CO"/>
              </w:rPr>
              <w:t xml:space="preserve">NO: </w:t>
            </w:r>
            <w:r w:rsidRPr="00C46096">
              <w:rPr>
                <w:rFonts w:ascii="Arial Narrow,Arial" w:eastAsia="Arial Narrow,Arial" w:hAnsi="Arial Narrow,Arial" w:cs="Arial Narrow,Arial"/>
                <w:b/>
                <w:bCs/>
                <w:sz w:val="24"/>
                <w:szCs w:val="24"/>
              </w:rPr>
              <w:t>__</w:t>
            </w:r>
            <w:r w:rsidRPr="00C46096">
              <w:rPr>
                <w:rFonts w:ascii="Arial Narrow" w:eastAsia="Arial Narrow" w:hAnsi="Arial Narrow" w:cs="Arial Narrow"/>
                <w:b/>
                <w:bCs/>
                <w:sz w:val="24"/>
                <w:szCs w:val="24"/>
              </w:rPr>
              <w:t>X</w:t>
            </w:r>
          </w:p>
        </w:tc>
      </w:tr>
    </w:tbl>
    <w:p w14:paraId="5EE7D4EF" w14:textId="77777777" w:rsidR="00B05975" w:rsidRPr="00C46096" w:rsidRDefault="00B05975" w:rsidP="00ED70D8">
      <w:pPr>
        <w:jc w:val="both"/>
        <w:rPr>
          <w:rFonts w:ascii="Arial Narrow" w:hAnsi="Arial Narrow" w:cs="Arial"/>
          <w:sz w:val="24"/>
          <w:szCs w:val="24"/>
          <w:lang w:val="es-CO"/>
        </w:rPr>
      </w:pPr>
    </w:p>
    <w:p w14:paraId="7EE0BF25" w14:textId="77777777" w:rsidR="00B05975" w:rsidRPr="00C46096" w:rsidRDefault="00B05975" w:rsidP="00ED70D8">
      <w:pPr>
        <w:jc w:val="both"/>
        <w:rPr>
          <w:rFonts w:ascii="Arial Narrow" w:hAnsi="Arial Narrow"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05975" w:rsidRPr="00095AD1" w14:paraId="39A00A03" w14:textId="77777777" w:rsidTr="68AF5C58">
        <w:trPr>
          <w:trHeight w:val="3858"/>
        </w:trPr>
        <w:tc>
          <w:tcPr>
            <w:tcW w:w="9923" w:type="dxa"/>
          </w:tcPr>
          <w:p w14:paraId="0F11E4FB" w14:textId="77777777" w:rsidR="00B05975"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lang w:val="es-CO"/>
              </w:rPr>
              <w:t>EL PROYECTO CUMPLE CON LAS DIRECTRICES DE TECNICA NORMATIVA PREVISTAS EN EL TITULO 2 DE LA PARTE 1 DEL LIBRO 2 DEL DECRETO No. 1081 de 2015</w:t>
            </w:r>
            <w:r w:rsidRPr="00C46096">
              <w:rPr>
                <w:rFonts w:ascii="Arial Narrow,Arial" w:eastAsia="Arial Narrow,Arial" w:hAnsi="Arial Narrow,Arial" w:cs="Arial Narrow,Arial"/>
                <w:sz w:val="24"/>
                <w:szCs w:val="24"/>
                <w:lang w:val="es-CO"/>
              </w:rPr>
              <w:t>:</w:t>
            </w:r>
            <w:r w:rsidRPr="00C46096">
              <w:rPr>
                <w:rFonts w:ascii="Arial Narrow" w:eastAsia="Arial Narrow" w:hAnsi="Arial Narrow" w:cs="Arial Narrow"/>
                <w:b/>
                <w:bCs/>
                <w:sz w:val="24"/>
                <w:szCs w:val="24"/>
                <w:lang w:val="es-CO"/>
              </w:rPr>
              <w:t xml:space="preserve"> SI </w:t>
            </w:r>
            <w:r w:rsidRPr="00C46096">
              <w:rPr>
                <w:rFonts w:ascii="Arial Narrow,Arial" w:eastAsia="Arial Narrow,Arial" w:hAnsi="Arial Narrow,Arial" w:cs="Arial Narrow,Arial"/>
                <w:b/>
                <w:bCs/>
                <w:sz w:val="24"/>
                <w:szCs w:val="24"/>
              </w:rPr>
              <w:t>__</w:t>
            </w:r>
            <w:r w:rsidRPr="00C46096">
              <w:rPr>
                <w:rFonts w:ascii="Arial Narrow" w:eastAsia="Arial Narrow" w:hAnsi="Arial Narrow" w:cs="Arial Narrow"/>
                <w:b/>
                <w:bCs/>
                <w:sz w:val="24"/>
                <w:szCs w:val="24"/>
              </w:rPr>
              <w:t>X_</w:t>
            </w:r>
            <w:r w:rsidRPr="00C46096">
              <w:rPr>
                <w:rFonts w:ascii="Arial Narrow,Arial" w:eastAsia="Arial Narrow,Arial" w:hAnsi="Arial Narrow,Arial" w:cs="Arial Narrow,Arial"/>
                <w:b/>
                <w:bCs/>
                <w:sz w:val="24"/>
                <w:szCs w:val="24"/>
              </w:rPr>
              <w:t xml:space="preserve">_      </w:t>
            </w:r>
            <w:r w:rsidRPr="00C46096">
              <w:rPr>
                <w:rFonts w:ascii="Arial Narrow" w:eastAsia="Arial Narrow" w:hAnsi="Arial Narrow" w:cs="Arial Narrow"/>
                <w:sz w:val="24"/>
                <w:szCs w:val="24"/>
              </w:rPr>
              <w:t>NO ____</w:t>
            </w:r>
          </w:p>
          <w:p w14:paraId="3C8A3272" w14:textId="77777777" w:rsidR="00D41974" w:rsidRPr="00C46096" w:rsidRDefault="00D41974" w:rsidP="00ED70D8">
            <w:pPr>
              <w:jc w:val="both"/>
              <w:rPr>
                <w:rFonts w:ascii="Arial Narrow" w:hAnsi="Arial Narrow" w:cs="Arial"/>
                <w:sz w:val="24"/>
                <w:szCs w:val="24"/>
              </w:rPr>
            </w:pPr>
          </w:p>
          <w:p w14:paraId="1CBE2146" w14:textId="77777777" w:rsidR="00D41974"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Viabilidad Jurídica</w:t>
            </w:r>
            <w:r w:rsidRPr="00C46096">
              <w:rPr>
                <w:rFonts w:ascii="Arial Narrow,Arial" w:eastAsia="Arial Narrow,Arial" w:hAnsi="Arial Narrow,Arial" w:cs="Arial Narrow,Arial"/>
                <w:sz w:val="24"/>
                <w:szCs w:val="24"/>
              </w:rPr>
              <w:t>:</w:t>
            </w:r>
          </w:p>
          <w:p w14:paraId="450F3673" w14:textId="77777777" w:rsidR="00913F49" w:rsidRPr="00C46096" w:rsidRDefault="00913F49" w:rsidP="00ED70D8">
            <w:pPr>
              <w:jc w:val="both"/>
              <w:rPr>
                <w:rFonts w:ascii="Arial Narrow" w:hAnsi="Arial Narrow" w:cs="Arial"/>
                <w:sz w:val="24"/>
                <w:szCs w:val="24"/>
              </w:rPr>
            </w:pPr>
          </w:p>
          <w:p w14:paraId="73A8A035" w14:textId="204ED0F8" w:rsidR="005B3D3C"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Elaboró:</w:t>
            </w:r>
            <w:r w:rsidR="007F4C69">
              <w:rPr>
                <w:rFonts w:ascii="Arial Narrow" w:eastAsia="Arial Narrow" w:hAnsi="Arial Narrow" w:cs="Arial Narrow"/>
                <w:sz w:val="24"/>
                <w:szCs w:val="24"/>
              </w:rPr>
              <w:t xml:space="preserve"> </w:t>
            </w:r>
          </w:p>
          <w:p w14:paraId="27170791" w14:textId="77777777" w:rsidR="00452D10" w:rsidRPr="00C46096" w:rsidRDefault="00452D10" w:rsidP="00ED70D8">
            <w:pPr>
              <w:jc w:val="both"/>
              <w:rPr>
                <w:rFonts w:ascii="Arial Narrow" w:hAnsi="Arial Narrow" w:cs="Arial"/>
                <w:sz w:val="24"/>
                <w:szCs w:val="24"/>
              </w:rPr>
            </w:pPr>
          </w:p>
          <w:p w14:paraId="398A1853" w14:textId="77777777" w:rsidR="00F1156A" w:rsidRPr="00C46096" w:rsidRDefault="68AF5C58" w:rsidP="68AF5C58">
            <w:pPr>
              <w:jc w:val="both"/>
              <w:rPr>
                <w:rFonts w:ascii="Arial Narrow,Arial" w:eastAsia="Arial Narrow,Arial" w:hAnsi="Arial Narrow,Arial" w:cs="Arial Narrow,Arial"/>
                <w:sz w:val="24"/>
                <w:szCs w:val="24"/>
              </w:rPr>
            </w:pPr>
            <w:r w:rsidRPr="00C46096">
              <w:rPr>
                <w:rFonts w:ascii="Arial Narrow,Arial" w:eastAsia="Arial Narrow,Arial" w:hAnsi="Arial Narrow,Arial" w:cs="Arial Narrow,Arial"/>
                <w:sz w:val="24"/>
                <w:szCs w:val="24"/>
              </w:rPr>
              <w:t>__________________________________</w:t>
            </w:r>
          </w:p>
          <w:p w14:paraId="249B5C61" w14:textId="32BE1BBA" w:rsidR="007F4C69" w:rsidRDefault="007F4C69">
            <w:pPr>
              <w:jc w:val="both"/>
              <w:rPr>
                <w:rFonts w:ascii="Arial Narrow" w:eastAsia="Arial Narrow" w:hAnsi="Arial Narrow" w:cs="Arial Narrow"/>
                <w:sz w:val="24"/>
                <w:szCs w:val="24"/>
              </w:rPr>
            </w:pPr>
            <w:r>
              <w:rPr>
                <w:rFonts w:ascii="Arial Narrow" w:eastAsia="Arial Narrow" w:hAnsi="Arial Narrow" w:cs="Arial Narrow"/>
                <w:sz w:val="24"/>
                <w:szCs w:val="24"/>
              </w:rPr>
              <w:t>Lucy Edrey Acevedo Meneses</w:t>
            </w:r>
          </w:p>
          <w:p w14:paraId="01D3E90B" w14:textId="423A7EAB" w:rsidR="00C669A7" w:rsidRPr="00095AD1" w:rsidRDefault="68AF5C58">
            <w:pPr>
              <w:jc w:val="both"/>
              <w:rPr>
                <w:rFonts w:ascii="Arial Narrow,Arial" w:eastAsia="Arial Narrow,Arial" w:hAnsi="Arial Narrow,Arial" w:cs="Arial Narrow,Arial"/>
                <w:b/>
                <w:bCs/>
                <w:sz w:val="24"/>
                <w:szCs w:val="24"/>
                <w:lang w:val="es-CO"/>
              </w:rPr>
            </w:pPr>
            <w:r w:rsidRPr="00C46096">
              <w:rPr>
                <w:rFonts w:ascii="Arial Narrow" w:eastAsia="Arial Narrow" w:hAnsi="Arial Narrow" w:cs="Arial Narrow"/>
                <w:sz w:val="24"/>
                <w:szCs w:val="24"/>
              </w:rPr>
              <w:t xml:space="preserve">Jefe </w:t>
            </w:r>
            <w:r w:rsidR="00791047">
              <w:rPr>
                <w:rFonts w:ascii="Arial Narrow" w:eastAsia="Arial Narrow" w:hAnsi="Arial Narrow" w:cs="Arial Narrow"/>
                <w:sz w:val="24"/>
                <w:szCs w:val="24"/>
              </w:rPr>
              <w:t>Oficina Asesora Jurídica</w:t>
            </w:r>
            <w:r w:rsidRPr="00C46096">
              <w:rPr>
                <w:rFonts w:ascii="Arial Narrow,Arial" w:eastAsia="Arial Narrow,Arial" w:hAnsi="Arial Narrow,Arial" w:cs="Arial Narrow,Arial"/>
                <w:sz w:val="24"/>
                <w:szCs w:val="24"/>
              </w:rPr>
              <w:t>.</w:t>
            </w:r>
            <w:r w:rsidRPr="68AF5C58">
              <w:rPr>
                <w:rFonts w:ascii="Arial Narrow,Arial" w:eastAsia="Arial Narrow,Arial" w:hAnsi="Arial Narrow,Arial" w:cs="Arial Narrow,Arial"/>
                <w:sz w:val="24"/>
                <w:szCs w:val="24"/>
              </w:rPr>
              <w:t xml:space="preserve">           </w:t>
            </w:r>
          </w:p>
        </w:tc>
      </w:tr>
    </w:tbl>
    <w:p w14:paraId="4BACE5B7" w14:textId="77777777" w:rsidR="00452D10" w:rsidRPr="00095AD1" w:rsidRDefault="00452D10" w:rsidP="00AD55B5">
      <w:pPr>
        <w:jc w:val="both"/>
        <w:rPr>
          <w:rFonts w:ascii="Arial Narrow" w:hAnsi="Arial Narrow" w:cs="Arial"/>
          <w:sz w:val="24"/>
          <w:szCs w:val="24"/>
        </w:rPr>
      </w:pPr>
    </w:p>
    <w:sectPr w:rsidR="00452D10" w:rsidRPr="00095AD1" w:rsidSect="006D213E">
      <w:headerReference w:type="default" r:id="rId11"/>
      <w:footerReference w:type="even" r:id="rId12"/>
      <w:footerReference w:type="default" r:id="rId13"/>
      <w:headerReference w:type="first" r:id="rId14"/>
      <w:footerReference w:type="first" r:id="rId15"/>
      <w:pgSz w:w="12240" w:h="15840" w:code="1"/>
      <w:pgMar w:top="567" w:right="1134" w:bottom="567" w:left="1134" w:header="567"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00DC" w14:textId="77777777" w:rsidR="006905A4" w:rsidRDefault="006905A4">
      <w:r>
        <w:separator/>
      </w:r>
    </w:p>
  </w:endnote>
  <w:endnote w:type="continuationSeparator" w:id="0">
    <w:p w14:paraId="1F7EE2E1" w14:textId="77777777" w:rsidR="006905A4" w:rsidRDefault="006905A4">
      <w:r>
        <w:continuationSeparator/>
      </w:r>
    </w:p>
  </w:endnote>
  <w:endnote w:type="continuationNotice" w:id="1">
    <w:p w14:paraId="65D72EEF" w14:textId="77777777" w:rsidR="006905A4" w:rsidRDefault="00690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Arial">
    <w:altName w:val="Arial Narrow"/>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Narrow,Arial,ヒラギノ角ゴ Pro W">
    <w:altName w:val="MS PMincho"/>
    <w:panose1 w:val="00000000000000000000"/>
    <w:charset w:val="80"/>
    <w:family w:val="roman"/>
    <w:notTrueType/>
    <w:pitch w:val="default"/>
  </w:font>
  <w:font w:name="Arial Narrow,Calibri">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1711" w14:textId="77777777" w:rsidR="00A0035B" w:rsidRDefault="007F0B67">
    <w:pPr>
      <w:pStyle w:val="Piedepgina"/>
      <w:framePr w:wrap="around" w:vAnchor="text" w:hAnchor="margin" w:xAlign="right" w:y="1"/>
      <w:rPr>
        <w:rStyle w:val="Nmerodepgina"/>
      </w:rPr>
    </w:pPr>
    <w:r>
      <w:rPr>
        <w:rStyle w:val="Nmerodepgina"/>
      </w:rPr>
      <w:fldChar w:fldCharType="begin"/>
    </w:r>
    <w:r w:rsidR="00A0035B">
      <w:rPr>
        <w:rStyle w:val="Nmerodepgina"/>
      </w:rPr>
      <w:instrText xml:space="preserve">PAGE  </w:instrText>
    </w:r>
    <w:r>
      <w:rPr>
        <w:rStyle w:val="Nmerodepgina"/>
      </w:rPr>
      <w:fldChar w:fldCharType="end"/>
    </w:r>
  </w:p>
  <w:p w14:paraId="29D4DA44" w14:textId="77777777" w:rsidR="00A0035B" w:rsidRDefault="00A0035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722C" w14:textId="77777777" w:rsidR="00A0035B" w:rsidRDefault="00B31C4D" w:rsidP="68AF5C58">
    <w:pPr>
      <w:pStyle w:val="Piedepgina"/>
      <w:ind w:right="-24"/>
      <w:jc w:val="right"/>
      <w:rPr>
        <w:rFonts w:ascii="Arial" w:eastAsia="Arial" w:hAnsi="Arial" w:cs="Arial"/>
        <w:sz w:val="16"/>
        <w:szCs w:val="16"/>
      </w:rPr>
    </w:pPr>
    <w:r>
      <w:rPr>
        <w:rFonts w:ascii="Arial" w:hAnsi="Arial"/>
        <w:noProof/>
        <w:sz w:val="16"/>
        <w:lang w:val="es-CO" w:eastAsia="es-CO"/>
      </w:rPr>
      <mc:AlternateContent>
        <mc:Choice Requires="wps">
          <w:drawing>
            <wp:anchor distT="0" distB="0" distL="114300" distR="114300" simplePos="0" relativeHeight="251658242" behindDoc="0" locked="0" layoutInCell="0" allowOverlap="1" wp14:anchorId="1E8921A3" wp14:editId="0DDC3D3D">
              <wp:simplePos x="0" y="0"/>
              <wp:positionH relativeFrom="column">
                <wp:posOffset>-97155</wp:posOffset>
              </wp:positionH>
              <wp:positionV relativeFrom="paragraph">
                <wp:posOffset>-13335</wp:posOffset>
              </wp:positionV>
              <wp:extent cx="6515100" cy="3175"/>
              <wp:effectExtent l="0" t="0" r="19050" b="349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6EB93" id="Line 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5pt" to="50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FUHAIAADU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" o:allowincell="f"/>
          </w:pict>
        </mc:Fallback>
      </mc:AlternateContent>
    </w:r>
    <w:r w:rsidR="00A0035B" w:rsidRPr="073AE5F6">
      <w:rPr>
        <w:rStyle w:val="Nmerodepgina"/>
        <w:rFonts w:ascii="Arial" w:eastAsia="Arial" w:hAnsi="Arial" w:cs="Arial"/>
        <w:sz w:val="16"/>
        <w:szCs w:val="16"/>
      </w:rPr>
      <w:t xml:space="preserve">Página </w:t>
    </w:r>
    <w:r w:rsidR="007F0B67" w:rsidRPr="68AF5C58">
      <w:rPr>
        <w:rStyle w:val="Nmerodepgina"/>
        <w:noProof/>
        <w:sz w:val="16"/>
        <w:szCs w:val="16"/>
      </w:rPr>
      <w:fldChar w:fldCharType="begin"/>
    </w:r>
    <w:r w:rsidR="00A0035B">
      <w:rPr>
        <w:rStyle w:val="Nmerodepgina"/>
        <w:sz w:val="16"/>
      </w:rPr>
      <w:instrText xml:space="preserve"> PAGE </w:instrText>
    </w:r>
    <w:r w:rsidR="007F0B67" w:rsidRPr="68AF5C58">
      <w:rPr>
        <w:rStyle w:val="Nmerodepgina"/>
        <w:sz w:val="16"/>
      </w:rPr>
      <w:fldChar w:fldCharType="separate"/>
    </w:r>
    <w:r w:rsidR="000110E3">
      <w:rPr>
        <w:rStyle w:val="Nmerodepgina"/>
        <w:noProof/>
        <w:sz w:val="16"/>
      </w:rPr>
      <w:t>3</w:t>
    </w:r>
    <w:r w:rsidR="007F0B67" w:rsidRPr="68AF5C58">
      <w:rPr>
        <w:rStyle w:val="Nmerodepgina"/>
        <w:noProof/>
        <w:sz w:val="16"/>
        <w:szCs w:val="16"/>
      </w:rPr>
      <w:fldChar w:fldCharType="end"/>
    </w:r>
    <w:r w:rsidR="00A0035B" w:rsidRPr="073AE5F6">
      <w:rPr>
        <w:rStyle w:val="Nmerodepgina"/>
        <w:sz w:val="16"/>
        <w:szCs w:val="16"/>
      </w:rPr>
      <w:t xml:space="preserve"> </w:t>
    </w:r>
    <w:r w:rsidR="00A0035B" w:rsidRPr="073AE5F6">
      <w:rPr>
        <w:rStyle w:val="Nmerodepgina"/>
        <w:rFonts w:ascii="Arial" w:eastAsia="Arial" w:hAnsi="Arial" w:cs="Arial"/>
        <w:sz w:val="16"/>
        <w:szCs w:val="16"/>
      </w:rPr>
      <w:t>de</w:t>
    </w:r>
    <w:r w:rsidR="007F0B67" w:rsidRPr="68AF5C58">
      <w:rPr>
        <w:rStyle w:val="Nmerodepgina"/>
        <w:rFonts w:ascii="Arial" w:eastAsia="Arial" w:hAnsi="Arial" w:cs="Arial"/>
        <w:noProof/>
        <w:sz w:val="16"/>
        <w:szCs w:val="16"/>
      </w:rPr>
      <w:fldChar w:fldCharType="begin"/>
    </w:r>
    <w:r w:rsidR="00A0035B">
      <w:rPr>
        <w:rStyle w:val="Nmerodepgina"/>
        <w:rFonts w:ascii="Arial" w:hAnsi="Arial"/>
        <w:sz w:val="16"/>
      </w:rPr>
      <w:instrText xml:space="preserve"> NUMPAGES </w:instrText>
    </w:r>
    <w:r w:rsidR="007F0B67" w:rsidRPr="68AF5C58">
      <w:rPr>
        <w:rStyle w:val="Nmerodepgina"/>
        <w:rFonts w:ascii="Arial" w:hAnsi="Arial"/>
        <w:sz w:val="16"/>
      </w:rPr>
      <w:fldChar w:fldCharType="separate"/>
    </w:r>
    <w:r w:rsidR="000110E3">
      <w:rPr>
        <w:rStyle w:val="Nmerodepgina"/>
        <w:rFonts w:ascii="Arial" w:hAnsi="Arial"/>
        <w:noProof/>
        <w:sz w:val="16"/>
      </w:rPr>
      <w:t>3</w:t>
    </w:r>
    <w:r w:rsidR="007F0B67" w:rsidRPr="68AF5C58">
      <w:rPr>
        <w:rStyle w:val="Nmerodepgina"/>
        <w:rFonts w:ascii="Arial" w:eastAsia="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938D" w14:textId="77777777" w:rsidR="00A0035B" w:rsidRDefault="68AF5C58" w:rsidP="68AF5C58">
    <w:pPr>
      <w:pStyle w:val="Piedepgina"/>
      <w:jc w:val="right"/>
      <w:rPr>
        <w:rFonts w:ascii="Arial" w:eastAsia="Arial" w:hAnsi="Arial" w:cs="Arial"/>
        <w:lang w:val="es-CO"/>
      </w:rPr>
    </w:pPr>
    <w:r w:rsidRPr="68AF5C58">
      <w:rPr>
        <w:rFonts w:ascii="Arial" w:eastAsia="Arial" w:hAnsi="Arial" w:cs="Arial"/>
        <w:lang w:val="es-CO"/>
      </w:rPr>
      <w:t xml:space="preserve">Pag 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BC21" w14:textId="77777777" w:rsidR="006905A4" w:rsidRDefault="006905A4">
      <w:r>
        <w:separator/>
      </w:r>
    </w:p>
  </w:footnote>
  <w:footnote w:type="continuationSeparator" w:id="0">
    <w:p w14:paraId="2E976DF4" w14:textId="77777777" w:rsidR="006905A4" w:rsidRDefault="006905A4">
      <w:r>
        <w:continuationSeparator/>
      </w:r>
    </w:p>
  </w:footnote>
  <w:footnote w:type="continuationNotice" w:id="1">
    <w:p w14:paraId="05715441" w14:textId="77777777" w:rsidR="006905A4" w:rsidRDefault="00690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33AF" w14:textId="77777777" w:rsidR="00A0035B" w:rsidRDefault="005D0752">
    <w:pPr>
      <w:pStyle w:val="Encabezado"/>
      <w:rPr>
        <w:lang w:val="es-CO"/>
      </w:rPr>
    </w:pPr>
    <w:r w:rsidRPr="00E53959">
      <w:rPr>
        <w:rFonts w:ascii="Arial" w:hAnsi="Arial" w:cs="Arial"/>
        <w:i/>
        <w:noProof/>
        <w:sz w:val="40"/>
        <w:szCs w:val="40"/>
        <w:lang w:val="es-CO" w:eastAsia="es-CO"/>
      </w:rPr>
      <w:drawing>
        <wp:anchor distT="0" distB="0" distL="114300" distR="114300" simplePos="0" relativeHeight="251660290" behindDoc="1" locked="0" layoutInCell="1" allowOverlap="1" wp14:anchorId="7D0580CA" wp14:editId="572AC309">
          <wp:simplePos x="0" y="0"/>
          <wp:positionH relativeFrom="margin">
            <wp:posOffset>-228600</wp:posOffset>
          </wp:positionH>
          <wp:positionV relativeFrom="margin">
            <wp:posOffset>-914400</wp:posOffset>
          </wp:positionV>
          <wp:extent cx="6684645" cy="89535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64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CB550" w14:textId="77777777" w:rsidR="00A0035B" w:rsidRDefault="00A0035B">
    <w:pPr>
      <w:pStyle w:val="Encabezado"/>
      <w:rPr>
        <w:lang w:val="es-CO"/>
      </w:rPr>
    </w:pPr>
  </w:p>
  <w:p w14:paraId="7A5497E6" w14:textId="77777777" w:rsidR="00A0035B" w:rsidRDefault="00A0035B">
    <w:pPr>
      <w:pStyle w:val="Encabezado"/>
      <w:rPr>
        <w:lang w:val="es-CO"/>
      </w:rPr>
    </w:pPr>
  </w:p>
  <w:p w14:paraId="1A544A98" w14:textId="77777777" w:rsidR="00A0035B" w:rsidRDefault="00A0035B">
    <w:pPr>
      <w:pStyle w:val="Encabezado"/>
      <w:rPr>
        <w:lang w:val="es-CO"/>
      </w:rPr>
    </w:pPr>
  </w:p>
  <w:p w14:paraId="2EBE5C65" w14:textId="77777777" w:rsidR="00A0035B" w:rsidRPr="00F2459E" w:rsidRDefault="00A0035B">
    <w:pPr>
      <w:pStyle w:val="Encabezado"/>
      <w:rPr>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289"/>
      <w:gridCol w:w="2070"/>
    </w:tblGrid>
    <w:tr w:rsidR="00A0035B" w14:paraId="3BF294FC" w14:textId="77777777" w:rsidTr="68AF5C58">
      <w:trPr>
        <w:cantSplit/>
        <w:trHeight w:val="705"/>
      </w:trPr>
      <w:tc>
        <w:tcPr>
          <w:tcW w:w="1701" w:type="dxa"/>
          <w:vMerge w:val="restart"/>
          <w:vAlign w:val="center"/>
        </w:tcPr>
        <w:p w14:paraId="1CEA0252" w14:textId="77777777" w:rsidR="00A0035B" w:rsidRDefault="00A0035B">
          <w:pPr>
            <w:jc w:val="center"/>
            <w:rPr>
              <w:noProof/>
            </w:rPr>
          </w:pPr>
          <w:r>
            <w:rPr>
              <w:noProof/>
              <w:lang w:val="es-CO" w:eastAsia="es-CO"/>
            </w:rPr>
            <w:drawing>
              <wp:anchor distT="0" distB="0" distL="114300" distR="114300" simplePos="0" relativeHeight="251658240" behindDoc="0" locked="0" layoutInCell="0" allowOverlap="1" wp14:anchorId="55260A87" wp14:editId="2F6EADD1">
                <wp:simplePos x="0" y="0"/>
                <wp:positionH relativeFrom="column">
                  <wp:posOffset>211455</wp:posOffset>
                </wp:positionH>
                <wp:positionV relativeFrom="paragraph">
                  <wp:posOffset>45085</wp:posOffset>
                </wp:positionV>
                <wp:extent cx="594360" cy="7493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749300"/>
                        </a:xfrm>
                        <a:prstGeom prst="rect">
                          <a:avLst/>
                        </a:prstGeom>
                        <a:noFill/>
                      </pic:spPr>
                    </pic:pic>
                  </a:graphicData>
                </a:graphic>
              </wp:anchor>
            </w:drawing>
          </w:r>
        </w:p>
      </w:tc>
      <w:tc>
        <w:tcPr>
          <w:tcW w:w="6289" w:type="dxa"/>
          <w:vMerge w:val="restart"/>
          <w:vAlign w:val="center"/>
        </w:tcPr>
        <w:p w14:paraId="5867B4B7" w14:textId="77777777" w:rsidR="00A0035B" w:rsidRDefault="68AF5C58" w:rsidP="68AF5C58">
          <w:pPr>
            <w:jc w:val="center"/>
            <w:rPr>
              <w:sz w:val="24"/>
              <w:szCs w:val="24"/>
              <w:lang w:val="es-MX"/>
            </w:rPr>
          </w:pPr>
          <w:r w:rsidRPr="68AF5C58">
            <w:rPr>
              <w:rFonts w:ascii="Arial" w:eastAsia="Arial" w:hAnsi="Arial" w:cs="Arial"/>
              <w:b/>
              <w:bCs/>
              <w:sz w:val="24"/>
              <w:szCs w:val="24"/>
            </w:rPr>
            <w:t>NOMBRE DEL DOCUMENTO</w:t>
          </w:r>
        </w:p>
      </w:tc>
      <w:tc>
        <w:tcPr>
          <w:tcW w:w="2070" w:type="dxa"/>
          <w:vAlign w:val="center"/>
        </w:tcPr>
        <w:p w14:paraId="1D8CC1C6" w14:textId="77777777" w:rsidR="00A0035B" w:rsidRDefault="68AF5C58" w:rsidP="68AF5C58">
          <w:pPr>
            <w:pStyle w:val="Ttulo2"/>
            <w:jc w:val="left"/>
            <w:rPr>
              <w:sz w:val="20"/>
            </w:rPr>
          </w:pPr>
          <w:r w:rsidRPr="68AF5C58">
            <w:rPr>
              <w:sz w:val="20"/>
            </w:rPr>
            <w:t xml:space="preserve">Código: </w:t>
          </w:r>
        </w:p>
      </w:tc>
    </w:tr>
    <w:tr w:rsidR="00A0035B" w14:paraId="206DA8A3" w14:textId="77777777" w:rsidTr="68AF5C58">
      <w:trPr>
        <w:cantSplit/>
        <w:trHeight w:val="560"/>
      </w:trPr>
      <w:tc>
        <w:tcPr>
          <w:tcW w:w="1701" w:type="dxa"/>
          <w:vMerge/>
          <w:tcBorders>
            <w:bottom w:val="nil"/>
          </w:tcBorders>
          <w:vAlign w:val="center"/>
        </w:tcPr>
        <w:p w14:paraId="644A4908" w14:textId="77777777" w:rsidR="00A0035B" w:rsidRDefault="00A0035B">
          <w:pPr>
            <w:jc w:val="center"/>
            <w:rPr>
              <w:noProof/>
            </w:rPr>
          </w:pPr>
        </w:p>
      </w:tc>
      <w:tc>
        <w:tcPr>
          <w:tcW w:w="6289" w:type="dxa"/>
          <w:vMerge/>
          <w:vAlign w:val="center"/>
        </w:tcPr>
        <w:p w14:paraId="10E0AEAC" w14:textId="77777777" w:rsidR="00A0035B" w:rsidRDefault="00A0035B">
          <w:pPr>
            <w:jc w:val="center"/>
            <w:rPr>
              <w:b/>
              <w:lang w:val="es-MX"/>
            </w:rPr>
          </w:pPr>
        </w:p>
      </w:tc>
      <w:tc>
        <w:tcPr>
          <w:tcW w:w="2070" w:type="dxa"/>
          <w:vAlign w:val="center"/>
        </w:tcPr>
        <w:p w14:paraId="1699AC24" w14:textId="77777777" w:rsidR="00A0035B" w:rsidRDefault="68AF5C58" w:rsidP="68AF5C58">
          <w:pPr>
            <w:rPr>
              <w:rFonts w:ascii="Arial" w:eastAsia="Arial" w:hAnsi="Arial" w:cs="Arial"/>
              <w:lang w:val="es-MX"/>
            </w:rPr>
          </w:pPr>
          <w:r w:rsidRPr="68AF5C58">
            <w:rPr>
              <w:rFonts w:ascii="Arial" w:eastAsia="Arial" w:hAnsi="Arial" w:cs="Arial"/>
              <w:lang w:val="es-MX"/>
            </w:rPr>
            <w:t>Versión : 1.0</w:t>
          </w:r>
        </w:p>
      </w:tc>
    </w:tr>
    <w:tr w:rsidR="00A0035B" w14:paraId="2D78CF65" w14:textId="77777777" w:rsidTr="68AF5C58">
      <w:trPr>
        <w:cantSplit/>
        <w:trHeight w:val="114"/>
      </w:trPr>
      <w:tc>
        <w:tcPr>
          <w:tcW w:w="1701" w:type="dxa"/>
          <w:vAlign w:val="center"/>
        </w:tcPr>
        <w:p w14:paraId="29EB3A9A" w14:textId="77777777" w:rsidR="00A0035B" w:rsidRDefault="68AF5C58" w:rsidP="68AF5C58">
          <w:pPr>
            <w:pStyle w:val="Textoindependiente"/>
            <w:jc w:val="center"/>
            <w:rPr>
              <w:b/>
              <w:bCs/>
              <w:sz w:val="16"/>
              <w:szCs w:val="16"/>
            </w:rPr>
          </w:pPr>
          <w:r w:rsidRPr="68AF5C58">
            <w:rPr>
              <w:b/>
              <w:bCs/>
              <w:sz w:val="16"/>
              <w:szCs w:val="16"/>
            </w:rPr>
            <w:t>Ministerio de Minas y Energía</w:t>
          </w:r>
        </w:p>
        <w:p w14:paraId="4033E110" w14:textId="77777777" w:rsidR="00A0035B" w:rsidRDefault="00A0035B">
          <w:pPr>
            <w:jc w:val="center"/>
            <w:rPr>
              <w:noProof/>
              <w:sz w:val="12"/>
            </w:rPr>
          </w:pPr>
          <w:r>
            <w:rPr>
              <w:rFonts w:ascii="Arial" w:hAnsi="Arial"/>
              <w:b/>
              <w:noProof/>
              <w:sz w:val="12"/>
            </w:rPr>
            <w:t>Republica de Colombia</w:t>
          </w:r>
        </w:p>
      </w:tc>
      <w:tc>
        <w:tcPr>
          <w:tcW w:w="6289" w:type="dxa"/>
          <w:vMerge/>
          <w:vAlign w:val="center"/>
        </w:tcPr>
        <w:p w14:paraId="214E08B8" w14:textId="77777777" w:rsidR="00A0035B" w:rsidRDefault="00A0035B">
          <w:pPr>
            <w:jc w:val="center"/>
            <w:rPr>
              <w:b/>
              <w:lang w:val="es-MX"/>
            </w:rPr>
          </w:pPr>
        </w:p>
      </w:tc>
      <w:tc>
        <w:tcPr>
          <w:tcW w:w="2070" w:type="dxa"/>
          <w:vAlign w:val="center"/>
        </w:tcPr>
        <w:p w14:paraId="49B12F85" w14:textId="77777777" w:rsidR="00A0035B" w:rsidRDefault="68AF5C58" w:rsidP="68AF5C58">
          <w:pPr>
            <w:rPr>
              <w:rFonts w:ascii="Arial" w:eastAsia="Arial" w:hAnsi="Arial" w:cs="Arial"/>
              <w:lang w:val="es-MX"/>
            </w:rPr>
          </w:pPr>
          <w:r w:rsidRPr="68AF5C58">
            <w:rPr>
              <w:rFonts w:ascii="Arial" w:eastAsia="Arial" w:hAnsi="Arial" w:cs="Arial"/>
              <w:lang w:val="es-MX"/>
            </w:rPr>
            <w:t xml:space="preserve">Fecha: </w:t>
          </w:r>
        </w:p>
      </w:tc>
    </w:tr>
  </w:tbl>
  <w:p w14:paraId="0EB91383" w14:textId="77777777" w:rsidR="00A0035B" w:rsidRDefault="00A0035B">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3A5"/>
    <w:multiLevelType w:val="hybridMultilevel"/>
    <w:tmpl w:val="18A00A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862A3"/>
    <w:multiLevelType w:val="hybridMultilevel"/>
    <w:tmpl w:val="D46E14F0"/>
    <w:lvl w:ilvl="0" w:tplc="DD8E3112">
      <w:start w:val="3"/>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E8A05EA"/>
    <w:multiLevelType w:val="hybridMultilevel"/>
    <w:tmpl w:val="09B6DB94"/>
    <w:lvl w:ilvl="0" w:tplc="DD8E3112">
      <w:numFmt w:val="bullet"/>
      <w:lvlText w:val="-"/>
      <w:lvlJc w:val="left"/>
      <w:pPr>
        <w:ind w:left="720" w:hanging="360"/>
      </w:pPr>
      <w:rPr>
        <w:rFonts w:ascii="Verdana" w:eastAsia="Arial"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420B97"/>
    <w:multiLevelType w:val="hybridMultilevel"/>
    <w:tmpl w:val="7F9C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94656"/>
    <w:multiLevelType w:val="hybridMultilevel"/>
    <w:tmpl w:val="41E41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AC47F9"/>
    <w:multiLevelType w:val="hybridMultilevel"/>
    <w:tmpl w:val="66AEAC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D96B68"/>
    <w:multiLevelType w:val="hybridMultilevel"/>
    <w:tmpl w:val="FBFC97DE"/>
    <w:lvl w:ilvl="0" w:tplc="67F80A3C">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F5368B"/>
    <w:multiLevelType w:val="hybridMultilevel"/>
    <w:tmpl w:val="564CF378"/>
    <w:lvl w:ilvl="0" w:tplc="E968000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7B7D44"/>
    <w:multiLevelType w:val="hybridMultilevel"/>
    <w:tmpl w:val="B4EC5332"/>
    <w:lvl w:ilvl="0" w:tplc="DD8E3112">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BDE5A0A"/>
    <w:multiLevelType w:val="hybridMultilevel"/>
    <w:tmpl w:val="0456B37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B13259F"/>
    <w:multiLevelType w:val="hybridMultilevel"/>
    <w:tmpl w:val="EAB47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F77215D"/>
    <w:multiLevelType w:val="hybridMultilevel"/>
    <w:tmpl w:val="6A78E3E8"/>
    <w:lvl w:ilvl="0" w:tplc="13B212C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54E83"/>
    <w:multiLevelType w:val="hybridMultilevel"/>
    <w:tmpl w:val="A9F2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E62A14"/>
    <w:multiLevelType w:val="hybridMultilevel"/>
    <w:tmpl w:val="153E370C"/>
    <w:lvl w:ilvl="0" w:tplc="BAC6F0E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CEB3E69"/>
    <w:multiLevelType w:val="hybridMultilevel"/>
    <w:tmpl w:val="E61C7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4680C04"/>
    <w:multiLevelType w:val="hybridMultilevel"/>
    <w:tmpl w:val="57B2CA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7D62956"/>
    <w:multiLevelType w:val="hybridMultilevel"/>
    <w:tmpl w:val="1CC2A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0"/>
  </w:num>
  <w:num w:numId="5">
    <w:abstractNumId w:val="7"/>
  </w:num>
  <w:num w:numId="6">
    <w:abstractNumId w:val="10"/>
  </w:num>
  <w:num w:numId="7">
    <w:abstractNumId w:val="11"/>
  </w:num>
  <w:num w:numId="8">
    <w:abstractNumId w:val="4"/>
  </w:num>
  <w:num w:numId="9">
    <w:abstractNumId w:val="12"/>
  </w:num>
  <w:num w:numId="10">
    <w:abstractNumId w:val="15"/>
  </w:num>
  <w:num w:numId="11">
    <w:abstractNumId w:val="2"/>
  </w:num>
  <w:num w:numId="12">
    <w:abstractNumId w:val="5"/>
  </w:num>
  <w:num w:numId="13">
    <w:abstractNumId w:val="9"/>
  </w:num>
  <w:num w:numId="14">
    <w:abstractNumId w:val="8"/>
  </w:num>
  <w:num w:numId="15">
    <w:abstractNumId w:val="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975"/>
    <w:rsid w:val="000042E4"/>
    <w:rsid w:val="00005FFF"/>
    <w:rsid w:val="000110E3"/>
    <w:rsid w:val="0001134B"/>
    <w:rsid w:val="0001466E"/>
    <w:rsid w:val="00022ED1"/>
    <w:rsid w:val="00025247"/>
    <w:rsid w:val="000302BE"/>
    <w:rsid w:val="00035DE7"/>
    <w:rsid w:val="00046E28"/>
    <w:rsid w:val="00047646"/>
    <w:rsid w:val="000501E7"/>
    <w:rsid w:val="00052454"/>
    <w:rsid w:val="00053049"/>
    <w:rsid w:val="00053C38"/>
    <w:rsid w:val="00055805"/>
    <w:rsid w:val="0005638A"/>
    <w:rsid w:val="000579F5"/>
    <w:rsid w:val="0006352E"/>
    <w:rsid w:val="00067FA5"/>
    <w:rsid w:val="00071E57"/>
    <w:rsid w:val="00072D09"/>
    <w:rsid w:val="00072DCC"/>
    <w:rsid w:val="0007670C"/>
    <w:rsid w:val="000811AF"/>
    <w:rsid w:val="000832E7"/>
    <w:rsid w:val="0009025D"/>
    <w:rsid w:val="000905B4"/>
    <w:rsid w:val="00092E04"/>
    <w:rsid w:val="00095AD1"/>
    <w:rsid w:val="000A1A04"/>
    <w:rsid w:val="000A1EB6"/>
    <w:rsid w:val="000B20BC"/>
    <w:rsid w:val="000B261A"/>
    <w:rsid w:val="000B2AEB"/>
    <w:rsid w:val="000C64E7"/>
    <w:rsid w:val="000C7671"/>
    <w:rsid w:val="000D1EB3"/>
    <w:rsid w:val="000D422E"/>
    <w:rsid w:val="000D7EDB"/>
    <w:rsid w:val="000E54BD"/>
    <w:rsid w:val="000F309E"/>
    <w:rsid w:val="001009D8"/>
    <w:rsid w:val="00101425"/>
    <w:rsid w:val="00101D94"/>
    <w:rsid w:val="00106A2F"/>
    <w:rsid w:val="00110470"/>
    <w:rsid w:val="001130E9"/>
    <w:rsid w:val="00113C93"/>
    <w:rsid w:val="001142F1"/>
    <w:rsid w:val="00115F83"/>
    <w:rsid w:val="00126F34"/>
    <w:rsid w:val="00127EE3"/>
    <w:rsid w:val="0014189C"/>
    <w:rsid w:val="00147228"/>
    <w:rsid w:val="001504F3"/>
    <w:rsid w:val="00154A8B"/>
    <w:rsid w:val="001558A2"/>
    <w:rsid w:val="00157204"/>
    <w:rsid w:val="00160F81"/>
    <w:rsid w:val="00171226"/>
    <w:rsid w:val="00172F71"/>
    <w:rsid w:val="00184F1B"/>
    <w:rsid w:val="001857A5"/>
    <w:rsid w:val="00186370"/>
    <w:rsid w:val="00186601"/>
    <w:rsid w:val="00187E94"/>
    <w:rsid w:val="00191F4A"/>
    <w:rsid w:val="00197A06"/>
    <w:rsid w:val="001A15D6"/>
    <w:rsid w:val="001A7115"/>
    <w:rsid w:val="001A7B74"/>
    <w:rsid w:val="001B7365"/>
    <w:rsid w:val="001C00C7"/>
    <w:rsid w:val="001C143C"/>
    <w:rsid w:val="001C311D"/>
    <w:rsid w:val="001D0382"/>
    <w:rsid w:val="001D7268"/>
    <w:rsid w:val="001E0B40"/>
    <w:rsid w:val="001E1A98"/>
    <w:rsid w:val="001E3625"/>
    <w:rsid w:val="001E62CD"/>
    <w:rsid w:val="001E66A3"/>
    <w:rsid w:val="001F08BD"/>
    <w:rsid w:val="001F1084"/>
    <w:rsid w:val="001F7812"/>
    <w:rsid w:val="00200568"/>
    <w:rsid w:val="00201C81"/>
    <w:rsid w:val="002044DA"/>
    <w:rsid w:val="00207491"/>
    <w:rsid w:val="0021714D"/>
    <w:rsid w:val="002179AD"/>
    <w:rsid w:val="00217BB7"/>
    <w:rsid w:val="00217F32"/>
    <w:rsid w:val="0022020B"/>
    <w:rsid w:val="002246C5"/>
    <w:rsid w:val="002247C9"/>
    <w:rsid w:val="00230AF6"/>
    <w:rsid w:val="002323AB"/>
    <w:rsid w:val="00233FB4"/>
    <w:rsid w:val="002403BB"/>
    <w:rsid w:val="0024253C"/>
    <w:rsid w:val="00253468"/>
    <w:rsid w:val="002549F5"/>
    <w:rsid w:val="002600AC"/>
    <w:rsid w:val="0026061E"/>
    <w:rsid w:val="002634CA"/>
    <w:rsid w:val="002643A5"/>
    <w:rsid w:val="0027296A"/>
    <w:rsid w:val="00281FE1"/>
    <w:rsid w:val="00284DDC"/>
    <w:rsid w:val="0028627A"/>
    <w:rsid w:val="00286D62"/>
    <w:rsid w:val="00287550"/>
    <w:rsid w:val="00294C05"/>
    <w:rsid w:val="002A31C8"/>
    <w:rsid w:val="002A338C"/>
    <w:rsid w:val="002A4458"/>
    <w:rsid w:val="002A46FA"/>
    <w:rsid w:val="002A6154"/>
    <w:rsid w:val="002B26E3"/>
    <w:rsid w:val="002B3B90"/>
    <w:rsid w:val="002B4C13"/>
    <w:rsid w:val="002C0A1F"/>
    <w:rsid w:val="002C35A1"/>
    <w:rsid w:val="002C4CAE"/>
    <w:rsid w:val="002D31E6"/>
    <w:rsid w:val="002D4CBD"/>
    <w:rsid w:val="002E3A67"/>
    <w:rsid w:val="002F594D"/>
    <w:rsid w:val="00301178"/>
    <w:rsid w:val="003047C4"/>
    <w:rsid w:val="0030582B"/>
    <w:rsid w:val="00305B62"/>
    <w:rsid w:val="00310ED4"/>
    <w:rsid w:val="00314863"/>
    <w:rsid w:val="0031604B"/>
    <w:rsid w:val="003171E0"/>
    <w:rsid w:val="00317CEC"/>
    <w:rsid w:val="0032214F"/>
    <w:rsid w:val="003251F5"/>
    <w:rsid w:val="00333D97"/>
    <w:rsid w:val="00335C68"/>
    <w:rsid w:val="00344313"/>
    <w:rsid w:val="00345D69"/>
    <w:rsid w:val="00350610"/>
    <w:rsid w:val="003513B2"/>
    <w:rsid w:val="00351EF3"/>
    <w:rsid w:val="003520D3"/>
    <w:rsid w:val="00352EB0"/>
    <w:rsid w:val="00355CD3"/>
    <w:rsid w:val="00357705"/>
    <w:rsid w:val="003611FF"/>
    <w:rsid w:val="00366E76"/>
    <w:rsid w:val="00367CDF"/>
    <w:rsid w:val="00372D96"/>
    <w:rsid w:val="00374D55"/>
    <w:rsid w:val="0038286D"/>
    <w:rsid w:val="003835CD"/>
    <w:rsid w:val="003861A1"/>
    <w:rsid w:val="00390DD0"/>
    <w:rsid w:val="00392CC6"/>
    <w:rsid w:val="0039367F"/>
    <w:rsid w:val="0039514A"/>
    <w:rsid w:val="00395305"/>
    <w:rsid w:val="003A1143"/>
    <w:rsid w:val="003A3963"/>
    <w:rsid w:val="003A4DC7"/>
    <w:rsid w:val="003A706B"/>
    <w:rsid w:val="003C4F70"/>
    <w:rsid w:val="003C5059"/>
    <w:rsid w:val="003C587E"/>
    <w:rsid w:val="003C68CC"/>
    <w:rsid w:val="003D0BA4"/>
    <w:rsid w:val="003D2DF8"/>
    <w:rsid w:val="003D4594"/>
    <w:rsid w:val="003D6179"/>
    <w:rsid w:val="003E50E0"/>
    <w:rsid w:val="003E524C"/>
    <w:rsid w:val="003E540F"/>
    <w:rsid w:val="003F1E38"/>
    <w:rsid w:val="003F3016"/>
    <w:rsid w:val="00402E79"/>
    <w:rsid w:val="0040476F"/>
    <w:rsid w:val="00404E59"/>
    <w:rsid w:val="004103BD"/>
    <w:rsid w:val="0041360F"/>
    <w:rsid w:val="00413C06"/>
    <w:rsid w:val="00425D57"/>
    <w:rsid w:val="00427F7B"/>
    <w:rsid w:val="00431B0F"/>
    <w:rsid w:val="004332E1"/>
    <w:rsid w:val="00437546"/>
    <w:rsid w:val="00452D10"/>
    <w:rsid w:val="00460593"/>
    <w:rsid w:val="00465CCA"/>
    <w:rsid w:val="00467269"/>
    <w:rsid w:val="00470680"/>
    <w:rsid w:val="004708D9"/>
    <w:rsid w:val="004710DC"/>
    <w:rsid w:val="0047383E"/>
    <w:rsid w:val="00475A5E"/>
    <w:rsid w:val="0048021A"/>
    <w:rsid w:val="004805E7"/>
    <w:rsid w:val="00480E1B"/>
    <w:rsid w:val="0048256A"/>
    <w:rsid w:val="0048698D"/>
    <w:rsid w:val="004878BB"/>
    <w:rsid w:val="004936FD"/>
    <w:rsid w:val="00493A66"/>
    <w:rsid w:val="0049584D"/>
    <w:rsid w:val="004A16E0"/>
    <w:rsid w:val="004A1F43"/>
    <w:rsid w:val="004A37C8"/>
    <w:rsid w:val="004A6A3C"/>
    <w:rsid w:val="004B00A9"/>
    <w:rsid w:val="004B4F83"/>
    <w:rsid w:val="004B5A85"/>
    <w:rsid w:val="004B6405"/>
    <w:rsid w:val="004C6717"/>
    <w:rsid w:val="004D1229"/>
    <w:rsid w:val="004D45D9"/>
    <w:rsid w:val="004D4FDD"/>
    <w:rsid w:val="004D5DF6"/>
    <w:rsid w:val="004D667A"/>
    <w:rsid w:val="004E6065"/>
    <w:rsid w:val="004E7EA0"/>
    <w:rsid w:val="004F1779"/>
    <w:rsid w:val="004F2C7C"/>
    <w:rsid w:val="004F3F8A"/>
    <w:rsid w:val="004F6637"/>
    <w:rsid w:val="0050198B"/>
    <w:rsid w:val="00503807"/>
    <w:rsid w:val="00511033"/>
    <w:rsid w:val="00515BCE"/>
    <w:rsid w:val="00515BF1"/>
    <w:rsid w:val="00522711"/>
    <w:rsid w:val="0052272B"/>
    <w:rsid w:val="005258C8"/>
    <w:rsid w:val="00525F1B"/>
    <w:rsid w:val="00535E93"/>
    <w:rsid w:val="00536EDB"/>
    <w:rsid w:val="00537570"/>
    <w:rsid w:val="00537812"/>
    <w:rsid w:val="00541BE9"/>
    <w:rsid w:val="005457DE"/>
    <w:rsid w:val="00553A86"/>
    <w:rsid w:val="00562663"/>
    <w:rsid w:val="00565D28"/>
    <w:rsid w:val="005775EC"/>
    <w:rsid w:val="0058100B"/>
    <w:rsid w:val="00584721"/>
    <w:rsid w:val="00585D80"/>
    <w:rsid w:val="00586489"/>
    <w:rsid w:val="00587BF0"/>
    <w:rsid w:val="00595655"/>
    <w:rsid w:val="00597733"/>
    <w:rsid w:val="005A3866"/>
    <w:rsid w:val="005A38BA"/>
    <w:rsid w:val="005A3B4A"/>
    <w:rsid w:val="005A6580"/>
    <w:rsid w:val="005B3D3C"/>
    <w:rsid w:val="005B4A08"/>
    <w:rsid w:val="005B5BEF"/>
    <w:rsid w:val="005C221A"/>
    <w:rsid w:val="005C325E"/>
    <w:rsid w:val="005C3A47"/>
    <w:rsid w:val="005D0752"/>
    <w:rsid w:val="005E7B50"/>
    <w:rsid w:val="005F3A61"/>
    <w:rsid w:val="005F3FD3"/>
    <w:rsid w:val="005F42D6"/>
    <w:rsid w:val="00600A66"/>
    <w:rsid w:val="00604905"/>
    <w:rsid w:val="0060631B"/>
    <w:rsid w:val="0062289C"/>
    <w:rsid w:val="00630086"/>
    <w:rsid w:val="00632624"/>
    <w:rsid w:val="00635D85"/>
    <w:rsid w:val="0064663C"/>
    <w:rsid w:val="00650735"/>
    <w:rsid w:val="00654438"/>
    <w:rsid w:val="00663C04"/>
    <w:rsid w:val="00663DE5"/>
    <w:rsid w:val="006646D9"/>
    <w:rsid w:val="00667C3A"/>
    <w:rsid w:val="00672CCB"/>
    <w:rsid w:val="00673541"/>
    <w:rsid w:val="00673B22"/>
    <w:rsid w:val="006743DB"/>
    <w:rsid w:val="006772E2"/>
    <w:rsid w:val="00681680"/>
    <w:rsid w:val="00684B02"/>
    <w:rsid w:val="006905A4"/>
    <w:rsid w:val="00690A5C"/>
    <w:rsid w:val="006A01CC"/>
    <w:rsid w:val="006A20BA"/>
    <w:rsid w:val="006A2C9E"/>
    <w:rsid w:val="006A7A7C"/>
    <w:rsid w:val="006B1FD8"/>
    <w:rsid w:val="006B4C81"/>
    <w:rsid w:val="006C2A34"/>
    <w:rsid w:val="006C58FA"/>
    <w:rsid w:val="006D213E"/>
    <w:rsid w:val="006D6500"/>
    <w:rsid w:val="006D7514"/>
    <w:rsid w:val="006E169B"/>
    <w:rsid w:val="006E3883"/>
    <w:rsid w:val="006F0969"/>
    <w:rsid w:val="006F4DFB"/>
    <w:rsid w:val="007007F0"/>
    <w:rsid w:val="007011B5"/>
    <w:rsid w:val="007111C1"/>
    <w:rsid w:val="007114E1"/>
    <w:rsid w:val="00713583"/>
    <w:rsid w:val="00715F42"/>
    <w:rsid w:val="00721D18"/>
    <w:rsid w:val="00722696"/>
    <w:rsid w:val="00722F9E"/>
    <w:rsid w:val="007247ED"/>
    <w:rsid w:val="00724EB2"/>
    <w:rsid w:val="007260CB"/>
    <w:rsid w:val="00730A30"/>
    <w:rsid w:val="007332C9"/>
    <w:rsid w:val="00733621"/>
    <w:rsid w:val="00734961"/>
    <w:rsid w:val="00737218"/>
    <w:rsid w:val="007400D1"/>
    <w:rsid w:val="00744A24"/>
    <w:rsid w:val="00744CD2"/>
    <w:rsid w:val="0074680E"/>
    <w:rsid w:val="0074771C"/>
    <w:rsid w:val="00751080"/>
    <w:rsid w:val="007534C7"/>
    <w:rsid w:val="007601E3"/>
    <w:rsid w:val="00760BDA"/>
    <w:rsid w:val="007616D4"/>
    <w:rsid w:val="007618DC"/>
    <w:rsid w:val="00763279"/>
    <w:rsid w:val="0076377A"/>
    <w:rsid w:val="0076549E"/>
    <w:rsid w:val="00767624"/>
    <w:rsid w:val="007678E4"/>
    <w:rsid w:val="00783FDF"/>
    <w:rsid w:val="007862E1"/>
    <w:rsid w:val="00786416"/>
    <w:rsid w:val="007903C6"/>
    <w:rsid w:val="00791047"/>
    <w:rsid w:val="007957AE"/>
    <w:rsid w:val="007A2910"/>
    <w:rsid w:val="007A34C3"/>
    <w:rsid w:val="007A5C0A"/>
    <w:rsid w:val="007A63EA"/>
    <w:rsid w:val="007A6B61"/>
    <w:rsid w:val="007A75FB"/>
    <w:rsid w:val="007B6B37"/>
    <w:rsid w:val="007B6F7E"/>
    <w:rsid w:val="007C1E7C"/>
    <w:rsid w:val="007C2B71"/>
    <w:rsid w:val="007C466C"/>
    <w:rsid w:val="007C5D93"/>
    <w:rsid w:val="007C696E"/>
    <w:rsid w:val="007C7D55"/>
    <w:rsid w:val="007D5D64"/>
    <w:rsid w:val="007E2AC3"/>
    <w:rsid w:val="007E4139"/>
    <w:rsid w:val="007E534B"/>
    <w:rsid w:val="007F0A4A"/>
    <w:rsid w:val="007F0B67"/>
    <w:rsid w:val="007F129A"/>
    <w:rsid w:val="007F298D"/>
    <w:rsid w:val="007F2D7D"/>
    <w:rsid w:val="007F2DA2"/>
    <w:rsid w:val="007F32E9"/>
    <w:rsid w:val="007F4C69"/>
    <w:rsid w:val="007F5C20"/>
    <w:rsid w:val="00803136"/>
    <w:rsid w:val="0080466D"/>
    <w:rsid w:val="008053FB"/>
    <w:rsid w:val="00806DF8"/>
    <w:rsid w:val="00807AF0"/>
    <w:rsid w:val="008143AC"/>
    <w:rsid w:val="008147C8"/>
    <w:rsid w:val="008212CE"/>
    <w:rsid w:val="00821615"/>
    <w:rsid w:val="008300FC"/>
    <w:rsid w:val="008319E9"/>
    <w:rsid w:val="00834668"/>
    <w:rsid w:val="00837BF7"/>
    <w:rsid w:val="00840891"/>
    <w:rsid w:val="00841635"/>
    <w:rsid w:val="008433E6"/>
    <w:rsid w:val="00851C7A"/>
    <w:rsid w:val="008527E9"/>
    <w:rsid w:val="00852D8C"/>
    <w:rsid w:val="00853E09"/>
    <w:rsid w:val="00856BC9"/>
    <w:rsid w:val="008629D9"/>
    <w:rsid w:val="00871791"/>
    <w:rsid w:val="0087571D"/>
    <w:rsid w:val="00877289"/>
    <w:rsid w:val="0088158C"/>
    <w:rsid w:val="0088578B"/>
    <w:rsid w:val="00886F37"/>
    <w:rsid w:val="008921DA"/>
    <w:rsid w:val="00894480"/>
    <w:rsid w:val="00895068"/>
    <w:rsid w:val="00895FF2"/>
    <w:rsid w:val="008976A2"/>
    <w:rsid w:val="008A00D6"/>
    <w:rsid w:val="008A299B"/>
    <w:rsid w:val="008A4B03"/>
    <w:rsid w:val="008A6331"/>
    <w:rsid w:val="008B109E"/>
    <w:rsid w:val="008B2082"/>
    <w:rsid w:val="008B2CFA"/>
    <w:rsid w:val="008B5647"/>
    <w:rsid w:val="008B6351"/>
    <w:rsid w:val="008C0B7D"/>
    <w:rsid w:val="008C15D8"/>
    <w:rsid w:val="008C4949"/>
    <w:rsid w:val="008D3DE1"/>
    <w:rsid w:val="008D6063"/>
    <w:rsid w:val="008E2913"/>
    <w:rsid w:val="008E5EFC"/>
    <w:rsid w:val="008F1F2A"/>
    <w:rsid w:val="008F2EDD"/>
    <w:rsid w:val="008F4A87"/>
    <w:rsid w:val="008F4CE4"/>
    <w:rsid w:val="008F4DC5"/>
    <w:rsid w:val="008F50C8"/>
    <w:rsid w:val="008F56E1"/>
    <w:rsid w:val="008F6B9A"/>
    <w:rsid w:val="008F7C56"/>
    <w:rsid w:val="00910A8E"/>
    <w:rsid w:val="00913F49"/>
    <w:rsid w:val="00915938"/>
    <w:rsid w:val="00916187"/>
    <w:rsid w:val="00917DFE"/>
    <w:rsid w:val="009213C3"/>
    <w:rsid w:val="00923533"/>
    <w:rsid w:val="00924687"/>
    <w:rsid w:val="009271FA"/>
    <w:rsid w:val="0092774C"/>
    <w:rsid w:val="009278D6"/>
    <w:rsid w:val="009309DD"/>
    <w:rsid w:val="009339ED"/>
    <w:rsid w:val="009341FB"/>
    <w:rsid w:val="00937056"/>
    <w:rsid w:val="00937AD9"/>
    <w:rsid w:val="009400EE"/>
    <w:rsid w:val="00942384"/>
    <w:rsid w:val="00950C6E"/>
    <w:rsid w:val="009516A8"/>
    <w:rsid w:val="00955466"/>
    <w:rsid w:val="00962C0D"/>
    <w:rsid w:val="009645C9"/>
    <w:rsid w:val="00964C1B"/>
    <w:rsid w:val="009761ED"/>
    <w:rsid w:val="00981F6D"/>
    <w:rsid w:val="00986CB3"/>
    <w:rsid w:val="00986FFB"/>
    <w:rsid w:val="00990AE3"/>
    <w:rsid w:val="00990C55"/>
    <w:rsid w:val="0099263E"/>
    <w:rsid w:val="00996752"/>
    <w:rsid w:val="009A242B"/>
    <w:rsid w:val="009A283C"/>
    <w:rsid w:val="009A2C5B"/>
    <w:rsid w:val="009A6ADF"/>
    <w:rsid w:val="009B7E48"/>
    <w:rsid w:val="009C07D6"/>
    <w:rsid w:val="009C554B"/>
    <w:rsid w:val="009C5AA9"/>
    <w:rsid w:val="009D58C1"/>
    <w:rsid w:val="009E3E36"/>
    <w:rsid w:val="009E4913"/>
    <w:rsid w:val="009E5647"/>
    <w:rsid w:val="009F082F"/>
    <w:rsid w:val="009F444F"/>
    <w:rsid w:val="009F505B"/>
    <w:rsid w:val="009F5FEB"/>
    <w:rsid w:val="009F7B1B"/>
    <w:rsid w:val="00A0035B"/>
    <w:rsid w:val="00A009E3"/>
    <w:rsid w:val="00A02093"/>
    <w:rsid w:val="00A02EE2"/>
    <w:rsid w:val="00A03061"/>
    <w:rsid w:val="00A04917"/>
    <w:rsid w:val="00A06633"/>
    <w:rsid w:val="00A11A53"/>
    <w:rsid w:val="00A1332C"/>
    <w:rsid w:val="00A13CBB"/>
    <w:rsid w:val="00A20CC7"/>
    <w:rsid w:val="00A21CEC"/>
    <w:rsid w:val="00A22CED"/>
    <w:rsid w:val="00A26DDE"/>
    <w:rsid w:val="00A309FC"/>
    <w:rsid w:val="00A37769"/>
    <w:rsid w:val="00A41636"/>
    <w:rsid w:val="00A422A6"/>
    <w:rsid w:val="00A42483"/>
    <w:rsid w:val="00A4307E"/>
    <w:rsid w:val="00A442D1"/>
    <w:rsid w:val="00A57521"/>
    <w:rsid w:val="00A67AFA"/>
    <w:rsid w:val="00A7657B"/>
    <w:rsid w:val="00A777B9"/>
    <w:rsid w:val="00A8622B"/>
    <w:rsid w:val="00A91C12"/>
    <w:rsid w:val="00A948BF"/>
    <w:rsid w:val="00A95921"/>
    <w:rsid w:val="00A96AD5"/>
    <w:rsid w:val="00AA1DB0"/>
    <w:rsid w:val="00AA787E"/>
    <w:rsid w:val="00AB2086"/>
    <w:rsid w:val="00AB25E3"/>
    <w:rsid w:val="00AB2D5A"/>
    <w:rsid w:val="00AB4822"/>
    <w:rsid w:val="00AB69C6"/>
    <w:rsid w:val="00AB78CF"/>
    <w:rsid w:val="00AC00EC"/>
    <w:rsid w:val="00AC0F06"/>
    <w:rsid w:val="00AC39A2"/>
    <w:rsid w:val="00AC55DA"/>
    <w:rsid w:val="00AC5AD5"/>
    <w:rsid w:val="00AC5B82"/>
    <w:rsid w:val="00AC6EB4"/>
    <w:rsid w:val="00AC7CAD"/>
    <w:rsid w:val="00AD1D94"/>
    <w:rsid w:val="00AD55B5"/>
    <w:rsid w:val="00AE6EE8"/>
    <w:rsid w:val="00AF0DBB"/>
    <w:rsid w:val="00B00AB0"/>
    <w:rsid w:val="00B01827"/>
    <w:rsid w:val="00B018D4"/>
    <w:rsid w:val="00B01F9D"/>
    <w:rsid w:val="00B02B68"/>
    <w:rsid w:val="00B03578"/>
    <w:rsid w:val="00B05975"/>
    <w:rsid w:val="00B13645"/>
    <w:rsid w:val="00B13766"/>
    <w:rsid w:val="00B16426"/>
    <w:rsid w:val="00B21EC8"/>
    <w:rsid w:val="00B25F0D"/>
    <w:rsid w:val="00B31C4D"/>
    <w:rsid w:val="00B32A75"/>
    <w:rsid w:val="00B33366"/>
    <w:rsid w:val="00B33477"/>
    <w:rsid w:val="00B366FB"/>
    <w:rsid w:val="00B36705"/>
    <w:rsid w:val="00B51E07"/>
    <w:rsid w:val="00B535FC"/>
    <w:rsid w:val="00B5414B"/>
    <w:rsid w:val="00B6231B"/>
    <w:rsid w:val="00B674BF"/>
    <w:rsid w:val="00B717EF"/>
    <w:rsid w:val="00B749D9"/>
    <w:rsid w:val="00B75839"/>
    <w:rsid w:val="00B7631F"/>
    <w:rsid w:val="00B77A03"/>
    <w:rsid w:val="00B9013A"/>
    <w:rsid w:val="00B90DD6"/>
    <w:rsid w:val="00B94A56"/>
    <w:rsid w:val="00B97E97"/>
    <w:rsid w:val="00BA1012"/>
    <w:rsid w:val="00BA1BCF"/>
    <w:rsid w:val="00BA344B"/>
    <w:rsid w:val="00BA494A"/>
    <w:rsid w:val="00BA4FCC"/>
    <w:rsid w:val="00BA58BB"/>
    <w:rsid w:val="00BA74D5"/>
    <w:rsid w:val="00BB159E"/>
    <w:rsid w:val="00BB198A"/>
    <w:rsid w:val="00BB1B4A"/>
    <w:rsid w:val="00BB3388"/>
    <w:rsid w:val="00BB49E0"/>
    <w:rsid w:val="00BC0AC6"/>
    <w:rsid w:val="00BC0B3B"/>
    <w:rsid w:val="00BC2C82"/>
    <w:rsid w:val="00BC2D5D"/>
    <w:rsid w:val="00BC7798"/>
    <w:rsid w:val="00BD5B6F"/>
    <w:rsid w:val="00BE115C"/>
    <w:rsid w:val="00BE6EAB"/>
    <w:rsid w:val="00BE765A"/>
    <w:rsid w:val="00BF778E"/>
    <w:rsid w:val="00C02E1B"/>
    <w:rsid w:val="00C06535"/>
    <w:rsid w:val="00C13B0F"/>
    <w:rsid w:val="00C170A6"/>
    <w:rsid w:val="00C17CAD"/>
    <w:rsid w:val="00C23EEB"/>
    <w:rsid w:val="00C25A37"/>
    <w:rsid w:val="00C31831"/>
    <w:rsid w:val="00C328CB"/>
    <w:rsid w:val="00C36E68"/>
    <w:rsid w:val="00C41669"/>
    <w:rsid w:val="00C43766"/>
    <w:rsid w:val="00C46096"/>
    <w:rsid w:val="00C477C4"/>
    <w:rsid w:val="00C554CB"/>
    <w:rsid w:val="00C56371"/>
    <w:rsid w:val="00C569D1"/>
    <w:rsid w:val="00C57B14"/>
    <w:rsid w:val="00C60EE8"/>
    <w:rsid w:val="00C6198F"/>
    <w:rsid w:val="00C620BC"/>
    <w:rsid w:val="00C64798"/>
    <w:rsid w:val="00C669A7"/>
    <w:rsid w:val="00C71E7C"/>
    <w:rsid w:val="00C73C25"/>
    <w:rsid w:val="00C77C4F"/>
    <w:rsid w:val="00C80A87"/>
    <w:rsid w:val="00C81036"/>
    <w:rsid w:val="00C875F4"/>
    <w:rsid w:val="00C91D77"/>
    <w:rsid w:val="00C9251D"/>
    <w:rsid w:val="00C92E1B"/>
    <w:rsid w:val="00C94947"/>
    <w:rsid w:val="00C9579D"/>
    <w:rsid w:val="00C96ADD"/>
    <w:rsid w:val="00CA0F26"/>
    <w:rsid w:val="00CB122C"/>
    <w:rsid w:val="00CB68E5"/>
    <w:rsid w:val="00CB77F2"/>
    <w:rsid w:val="00CD0116"/>
    <w:rsid w:val="00CD5F45"/>
    <w:rsid w:val="00CD774B"/>
    <w:rsid w:val="00CE2CE8"/>
    <w:rsid w:val="00CE32F8"/>
    <w:rsid w:val="00CE34DD"/>
    <w:rsid w:val="00CE57F6"/>
    <w:rsid w:val="00CE7106"/>
    <w:rsid w:val="00CF257B"/>
    <w:rsid w:val="00CF4618"/>
    <w:rsid w:val="00CF618E"/>
    <w:rsid w:val="00D05149"/>
    <w:rsid w:val="00D06365"/>
    <w:rsid w:val="00D06EAA"/>
    <w:rsid w:val="00D07B4F"/>
    <w:rsid w:val="00D10FD1"/>
    <w:rsid w:val="00D15B45"/>
    <w:rsid w:val="00D15E10"/>
    <w:rsid w:val="00D168DC"/>
    <w:rsid w:val="00D21876"/>
    <w:rsid w:val="00D23899"/>
    <w:rsid w:val="00D245B3"/>
    <w:rsid w:val="00D27420"/>
    <w:rsid w:val="00D3330A"/>
    <w:rsid w:val="00D33E13"/>
    <w:rsid w:val="00D3480A"/>
    <w:rsid w:val="00D367E6"/>
    <w:rsid w:val="00D36915"/>
    <w:rsid w:val="00D372F6"/>
    <w:rsid w:val="00D40A7B"/>
    <w:rsid w:val="00D40DC1"/>
    <w:rsid w:val="00D41974"/>
    <w:rsid w:val="00D52416"/>
    <w:rsid w:val="00D53C7F"/>
    <w:rsid w:val="00D57F8E"/>
    <w:rsid w:val="00D615F0"/>
    <w:rsid w:val="00D6594D"/>
    <w:rsid w:val="00D714E4"/>
    <w:rsid w:val="00D746A7"/>
    <w:rsid w:val="00D74FF6"/>
    <w:rsid w:val="00D77255"/>
    <w:rsid w:val="00D83D41"/>
    <w:rsid w:val="00D87D6D"/>
    <w:rsid w:val="00DA3C92"/>
    <w:rsid w:val="00DB0F86"/>
    <w:rsid w:val="00DB2139"/>
    <w:rsid w:val="00DB61DD"/>
    <w:rsid w:val="00DB6984"/>
    <w:rsid w:val="00DB7A01"/>
    <w:rsid w:val="00DC60D2"/>
    <w:rsid w:val="00DC647D"/>
    <w:rsid w:val="00DD14FF"/>
    <w:rsid w:val="00DD5A7D"/>
    <w:rsid w:val="00DE1329"/>
    <w:rsid w:val="00DE578E"/>
    <w:rsid w:val="00DE67EB"/>
    <w:rsid w:val="00DF29C2"/>
    <w:rsid w:val="00E046CD"/>
    <w:rsid w:val="00E07A59"/>
    <w:rsid w:val="00E11387"/>
    <w:rsid w:val="00E11A1B"/>
    <w:rsid w:val="00E11D38"/>
    <w:rsid w:val="00E12007"/>
    <w:rsid w:val="00E124DF"/>
    <w:rsid w:val="00E14155"/>
    <w:rsid w:val="00E1495F"/>
    <w:rsid w:val="00E17B0F"/>
    <w:rsid w:val="00E23D8E"/>
    <w:rsid w:val="00E26CCC"/>
    <w:rsid w:val="00E26D1D"/>
    <w:rsid w:val="00E26D37"/>
    <w:rsid w:val="00E31B82"/>
    <w:rsid w:val="00E3434A"/>
    <w:rsid w:val="00E36B38"/>
    <w:rsid w:val="00E36C32"/>
    <w:rsid w:val="00E421C0"/>
    <w:rsid w:val="00E437CD"/>
    <w:rsid w:val="00E47596"/>
    <w:rsid w:val="00E4778F"/>
    <w:rsid w:val="00E50319"/>
    <w:rsid w:val="00E5262F"/>
    <w:rsid w:val="00E550F9"/>
    <w:rsid w:val="00E55474"/>
    <w:rsid w:val="00E565DB"/>
    <w:rsid w:val="00E64D2C"/>
    <w:rsid w:val="00E67ADA"/>
    <w:rsid w:val="00E708EC"/>
    <w:rsid w:val="00E7114D"/>
    <w:rsid w:val="00E71469"/>
    <w:rsid w:val="00E71A49"/>
    <w:rsid w:val="00E73050"/>
    <w:rsid w:val="00E85733"/>
    <w:rsid w:val="00E9232D"/>
    <w:rsid w:val="00E92405"/>
    <w:rsid w:val="00E930B9"/>
    <w:rsid w:val="00E93509"/>
    <w:rsid w:val="00EA0A4E"/>
    <w:rsid w:val="00EA0F6E"/>
    <w:rsid w:val="00EA6602"/>
    <w:rsid w:val="00EB631C"/>
    <w:rsid w:val="00EC54AF"/>
    <w:rsid w:val="00EC6636"/>
    <w:rsid w:val="00EC69DA"/>
    <w:rsid w:val="00ED70D8"/>
    <w:rsid w:val="00EE3C5F"/>
    <w:rsid w:val="00EE5A90"/>
    <w:rsid w:val="00EF237E"/>
    <w:rsid w:val="00EF48D1"/>
    <w:rsid w:val="00EF66BB"/>
    <w:rsid w:val="00EF7DA8"/>
    <w:rsid w:val="00F00823"/>
    <w:rsid w:val="00F015B7"/>
    <w:rsid w:val="00F03100"/>
    <w:rsid w:val="00F05FDA"/>
    <w:rsid w:val="00F0756A"/>
    <w:rsid w:val="00F0775A"/>
    <w:rsid w:val="00F1156A"/>
    <w:rsid w:val="00F11721"/>
    <w:rsid w:val="00F11939"/>
    <w:rsid w:val="00F1266D"/>
    <w:rsid w:val="00F134B9"/>
    <w:rsid w:val="00F15A0A"/>
    <w:rsid w:val="00F2459E"/>
    <w:rsid w:val="00F269BC"/>
    <w:rsid w:val="00F27D3D"/>
    <w:rsid w:val="00F300ED"/>
    <w:rsid w:val="00F34DC0"/>
    <w:rsid w:val="00F367E4"/>
    <w:rsid w:val="00F36F8E"/>
    <w:rsid w:val="00F43FCD"/>
    <w:rsid w:val="00F467AF"/>
    <w:rsid w:val="00F5639B"/>
    <w:rsid w:val="00F6238F"/>
    <w:rsid w:val="00F64975"/>
    <w:rsid w:val="00F64AB2"/>
    <w:rsid w:val="00F700DE"/>
    <w:rsid w:val="00F81BDE"/>
    <w:rsid w:val="00F85920"/>
    <w:rsid w:val="00F86F12"/>
    <w:rsid w:val="00F87817"/>
    <w:rsid w:val="00F90C46"/>
    <w:rsid w:val="00F91E7A"/>
    <w:rsid w:val="00F93DAC"/>
    <w:rsid w:val="00FA1C36"/>
    <w:rsid w:val="00FA7A61"/>
    <w:rsid w:val="00FB2969"/>
    <w:rsid w:val="00FB2BD4"/>
    <w:rsid w:val="00FB44DC"/>
    <w:rsid w:val="00FB789B"/>
    <w:rsid w:val="00FC08BF"/>
    <w:rsid w:val="00FC1AA1"/>
    <w:rsid w:val="00FC1CE6"/>
    <w:rsid w:val="00FC3240"/>
    <w:rsid w:val="00FC33FB"/>
    <w:rsid w:val="00FD4FC9"/>
    <w:rsid w:val="00FE456C"/>
    <w:rsid w:val="00FE4805"/>
    <w:rsid w:val="00FE4DED"/>
    <w:rsid w:val="00FE682B"/>
    <w:rsid w:val="00FE70E3"/>
    <w:rsid w:val="00FE7109"/>
    <w:rsid w:val="00FF069D"/>
    <w:rsid w:val="00FF6991"/>
    <w:rsid w:val="01E2A244"/>
    <w:rsid w:val="073AE5F6"/>
    <w:rsid w:val="08A26525"/>
    <w:rsid w:val="0A0010FA"/>
    <w:rsid w:val="0D88563A"/>
    <w:rsid w:val="0F6777E5"/>
    <w:rsid w:val="1527F8F8"/>
    <w:rsid w:val="1599D0C3"/>
    <w:rsid w:val="165DC1FE"/>
    <w:rsid w:val="1A0B3DB1"/>
    <w:rsid w:val="1B1FE41E"/>
    <w:rsid w:val="1BF247CA"/>
    <w:rsid w:val="23546552"/>
    <w:rsid w:val="246BAA21"/>
    <w:rsid w:val="2C8A912B"/>
    <w:rsid w:val="37C0DC49"/>
    <w:rsid w:val="393B0B7E"/>
    <w:rsid w:val="443F6FA1"/>
    <w:rsid w:val="4D41F78C"/>
    <w:rsid w:val="4D456E31"/>
    <w:rsid w:val="5297EED0"/>
    <w:rsid w:val="5CE595E8"/>
    <w:rsid w:val="600F2102"/>
    <w:rsid w:val="68A7CF5C"/>
    <w:rsid w:val="68AF5C58"/>
    <w:rsid w:val="70DB8583"/>
    <w:rsid w:val="74AB62D7"/>
    <w:rsid w:val="756125C2"/>
    <w:rsid w:val="75C410E6"/>
    <w:rsid w:val="7D9BDB0A"/>
    <w:rsid w:val="7FCAAD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B757C"/>
  <w15:docId w15:val="{58FB849B-F5B3-4786-A077-DD10C88D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FD3"/>
    <w:rPr>
      <w:lang w:val="es-ES" w:eastAsia="es-ES"/>
    </w:rPr>
  </w:style>
  <w:style w:type="paragraph" w:styleId="Ttulo1">
    <w:name w:val="heading 1"/>
    <w:basedOn w:val="Normal"/>
    <w:next w:val="Normal"/>
    <w:link w:val="Ttulo1Car"/>
    <w:qFormat/>
    <w:rsid w:val="00AB25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B05975"/>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5975"/>
    <w:pPr>
      <w:tabs>
        <w:tab w:val="center" w:pos="4252"/>
        <w:tab w:val="right" w:pos="8504"/>
      </w:tabs>
    </w:pPr>
  </w:style>
  <w:style w:type="paragraph" w:styleId="Piedepgina">
    <w:name w:val="footer"/>
    <w:basedOn w:val="Normal"/>
    <w:rsid w:val="00B05975"/>
    <w:pPr>
      <w:tabs>
        <w:tab w:val="center" w:pos="4252"/>
        <w:tab w:val="right" w:pos="8504"/>
      </w:tabs>
    </w:pPr>
  </w:style>
  <w:style w:type="character" w:styleId="Nmerodepgina">
    <w:name w:val="page number"/>
    <w:basedOn w:val="Fuentedeprrafopredeter"/>
    <w:rsid w:val="00B05975"/>
  </w:style>
  <w:style w:type="paragraph" w:styleId="Textoindependiente">
    <w:name w:val="Body Text"/>
    <w:basedOn w:val="Normal"/>
    <w:rsid w:val="00B05975"/>
    <w:pPr>
      <w:jc w:val="both"/>
    </w:pPr>
    <w:rPr>
      <w:rFonts w:ascii="Arial" w:hAnsi="Arial"/>
      <w:sz w:val="24"/>
      <w:lang w:val="es-ES_tradnl"/>
    </w:rPr>
  </w:style>
  <w:style w:type="table" w:styleId="Tablaconcuadrcula">
    <w:name w:val="Table Grid"/>
    <w:basedOn w:val="Tablanormal"/>
    <w:rsid w:val="00B0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5975"/>
    <w:pPr>
      <w:spacing w:before="100" w:beforeAutospacing="1" w:after="100" w:afterAutospacing="1"/>
    </w:pPr>
    <w:rPr>
      <w:color w:val="663300"/>
      <w:sz w:val="24"/>
      <w:szCs w:val="24"/>
    </w:rPr>
  </w:style>
  <w:style w:type="character" w:customStyle="1" w:styleId="TextoindependienteCar">
    <w:name w:val="Texto independiente Car"/>
    <w:basedOn w:val="Fuentedeprrafopredeter"/>
    <w:rsid w:val="007616D4"/>
    <w:rPr>
      <w:rFonts w:ascii="Arial Unicode MS" w:eastAsia="Arial Unicode MS" w:hAnsi="Arial Unicode MS" w:cs="Arial Unicode MS"/>
      <w:sz w:val="24"/>
      <w:szCs w:val="24"/>
      <w:lang w:val="es-ES" w:eastAsia="es-ES" w:bidi="ar-SA"/>
    </w:rPr>
  </w:style>
  <w:style w:type="paragraph" w:customStyle="1" w:styleId="Cuerpodetexto">
    <w:name w:val="Cuerpo de texto"/>
    <w:basedOn w:val="Normal"/>
    <w:rsid w:val="00A20CC7"/>
    <w:pPr>
      <w:widowControl w:val="0"/>
      <w:autoSpaceDE w:val="0"/>
      <w:autoSpaceDN w:val="0"/>
      <w:adjustRightInd w:val="0"/>
      <w:spacing w:after="283"/>
    </w:pPr>
    <w:rPr>
      <w:sz w:val="24"/>
      <w:szCs w:val="24"/>
      <w:lang w:val="es-ES_tradnl"/>
    </w:rPr>
  </w:style>
  <w:style w:type="paragraph" w:styleId="Prrafodelista">
    <w:name w:val="List Paragraph"/>
    <w:basedOn w:val="Normal"/>
    <w:link w:val="PrrafodelistaCar"/>
    <w:uiPriority w:val="34"/>
    <w:qFormat/>
    <w:rsid w:val="00C80A87"/>
    <w:pPr>
      <w:spacing w:after="200" w:line="276" w:lineRule="auto"/>
      <w:ind w:left="720"/>
      <w:contextualSpacing/>
    </w:pPr>
    <w:rPr>
      <w:rFonts w:ascii="Calibri" w:eastAsia="Calibri" w:hAnsi="Calibri"/>
      <w:sz w:val="22"/>
      <w:szCs w:val="22"/>
      <w:lang w:val="es-CO" w:eastAsia="en-US"/>
    </w:rPr>
  </w:style>
  <w:style w:type="paragraph" w:customStyle="1" w:styleId="Style-4">
    <w:name w:val="Style-4"/>
    <w:rsid w:val="008D3DE1"/>
    <w:rPr>
      <w:lang w:val="es-ES" w:eastAsia="es-ES"/>
    </w:rPr>
  </w:style>
  <w:style w:type="paragraph" w:customStyle="1" w:styleId="Style-2">
    <w:name w:val="Style-2"/>
    <w:rsid w:val="00CE32F8"/>
    <w:rPr>
      <w:lang w:val="es-ES" w:eastAsia="es-ES"/>
    </w:rPr>
  </w:style>
  <w:style w:type="paragraph" w:styleId="Textonotapie">
    <w:name w:val="footnote text"/>
    <w:basedOn w:val="Normal"/>
    <w:link w:val="TextonotapieCar"/>
    <w:uiPriority w:val="99"/>
    <w:unhideWhenUsed/>
    <w:rsid w:val="00287550"/>
    <w:pPr>
      <w:tabs>
        <w:tab w:val="left" w:pos="300"/>
      </w:tabs>
      <w:autoSpaceDE w:val="0"/>
      <w:autoSpaceDN w:val="0"/>
      <w:adjustRightInd w:val="0"/>
      <w:spacing w:line="210" w:lineRule="atLeast"/>
      <w:ind w:left="320" w:hanging="320"/>
      <w:jc w:val="both"/>
    </w:pPr>
    <w:rPr>
      <w:color w:val="000000"/>
      <w:lang w:val="es-ES_tradnl" w:eastAsia="es-CO"/>
    </w:rPr>
  </w:style>
  <w:style w:type="character" w:customStyle="1" w:styleId="TextonotapieCar">
    <w:name w:val="Texto nota pie Car"/>
    <w:basedOn w:val="Fuentedeprrafopredeter"/>
    <w:link w:val="Textonotapie"/>
    <w:uiPriority w:val="99"/>
    <w:rsid w:val="00287550"/>
    <w:rPr>
      <w:color w:val="000000"/>
      <w:lang w:val="es-ES_tradnl" w:eastAsia="es-CO"/>
    </w:rPr>
  </w:style>
  <w:style w:type="character" w:styleId="Refdenotaalpie">
    <w:name w:val="footnote reference"/>
    <w:basedOn w:val="Fuentedeprrafopredeter"/>
    <w:rsid w:val="00A4307E"/>
    <w:rPr>
      <w:vertAlign w:val="superscript"/>
    </w:rPr>
  </w:style>
  <w:style w:type="paragraph" w:styleId="Textodeglobo">
    <w:name w:val="Balloon Text"/>
    <w:basedOn w:val="Normal"/>
    <w:link w:val="TextodegloboCar"/>
    <w:rsid w:val="00BA4FCC"/>
    <w:rPr>
      <w:rFonts w:ascii="Tahoma" w:hAnsi="Tahoma" w:cs="Tahoma"/>
      <w:sz w:val="16"/>
      <w:szCs w:val="16"/>
    </w:rPr>
  </w:style>
  <w:style w:type="character" w:customStyle="1" w:styleId="TextodegloboCar">
    <w:name w:val="Texto de globo Car"/>
    <w:basedOn w:val="Fuentedeprrafopredeter"/>
    <w:link w:val="Textodeglobo"/>
    <w:rsid w:val="00BA4FCC"/>
    <w:rPr>
      <w:rFonts w:ascii="Tahoma" w:hAnsi="Tahoma" w:cs="Tahoma"/>
      <w:sz w:val="16"/>
      <w:szCs w:val="16"/>
      <w:lang w:val="es-ES" w:eastAsia="es-ES"/>
    </w:rPr>
  </w:style>
  <w:style w:type="character" w:customStyle="1" w:styleId="PrrafodelistaCar">
    <w:name w:val="Párrafo de lista Car"/>
    <w:link w:val="Prrafodelista"/>
    <w:uiPriority w:val="34"/>
    <w:locked/>
    <w:rsid w:val="0052272B"/>
    <w:rPr>
      <w:rFonts w:ascii="Calibri" w:eastAsia="Calibri" w:hAnsi="Calibri"/>
      <w:sz w:val="22"/>
      <w:szCs w:val="22"/>
      <w:lang w:eastAsia="en-US"/>
    </w:rPr>
  </w:style>
  <w:style w:type="character" w:styleId="Refdecomentario">
    <w:name w:val="annotation reference"/>
    <w:basedOn w:val="Fuentedeprrafopredeter"/>
    <w:semiHidden/>
    <w:unhideWhenUsed/>
    <w:rsid w:val="0040476F"/>
    <w:rPr>
      <w:sz w:val="16"/>
      <w:szCs w:val="16"/>
    </w:rPr>
  </w:style>
  <w:style w:type="paragraph" w:styleId="Textocomentario">
    <w:name w:val="annotation text"/>
    <w:basedOn w:val="Normal"/>
    <w:link w:val="TextocomentarioCar"/>
    <w:semiHidden/>
    <w:unhideWhenUsed/>
    <w:rsid w:val="0040476F"/>
  </w:style>
  <w:style w:type="character" w:customStyle="1" w:styleId="TextocomentarioCar">
    <w:name w:val="Texto comentario Car"/>
    <w:basedOn w:val="Fuentedeprrafopredeter"/>
    <w:link w:val="Textocomentario"/>
    <w:semiHidden/>
    <w:rsid w:val="0040476F"/>
    <w:rPr>
      <w:lang w:val="es-ES" w:eastAsia="es-ES"/>
    </w:rPr>
  </w:style>
  <w:style w:type="paragraph" w:styleId="Asuntodelcomentario">
    <w:name w:val="annotation subject"/>
    <w:basedOn w:val="Textocomentario"/>
    <w:next w:val="Textocomentario"/>
    <w:link w:val="AsuntodelcomentarioCar"/>
    <w:semiHidden/>
    <w:unhideWhenUsed/>
    <w:rsid w:val="0040476F"/>
    <w:rPr>
      <w:b/>
      <w:bCs/>
    </w:rPr>
  </w:style>
  <w:style w:type="character" w:customStyle="1" w:styleId="AsuntodelcomentarioCar">
    <w:name w:val="Asunto del comentario Car"/>
    <w:basedOn w:val="TextocomentarioCar"/>
    <w:link w:val="Asuntodelcomentario"/>
    <w:semiHidden/>
    <w:rsid w:val="0040476F"/>
    <w:rPr>
      <w:b/>
      <w:bCs/>
      <w:lang w:val="es-ES" w:eastAsia="es-ES"/>
    </w:rPr>
  </w:style>
  <w:style w:type="paragraph" w:customStyle="1" w:styleId="Default">
    <w:name w:val="Default"/>
    <w:rsid w:val="00106A2F"/>
    <w:pPr>
      <w:autoSpaceDE w:val="0"/>
      <w:autoSpaceDN w:val="0"/>
      <w:adjustRightInd w:val="0"/>
    </w:pPr>
    <w:rPr>
      <w:rFonts w:ascii="Arial" w:eastAsia="Calibri" w:hAnsi="Arial" w:cs="Arial"/>
      <w:color w:val="000000"/>
      <w:sz w:val="24"/>
      <w:szCs w:val="24"/>
      <w:lang w:val="en-AU" w:eastAsia="en-US"/>
    </w:rPr>
  </w:style>
  <w:style w:type="character" w:customStyle="1" w:styleId="apple-converted-space">
    <w:name w:val="apple-converted-space"/>
    <w:basedOn w:val="Fuentedeprrafopredeter"/>
    <w:rsid w:val="00106A2F"/>
  </w:style>
  <w:style w:type="paragraph" w:styleId="Sinespaciado">
    <w:name w:val="No Spacing"/>
    <w:uiPriority w:val="1"/>
    <w:qFormat/>
    <w:rsid w:val="00AB69C6"/>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AB25E3"/>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5582">
      <w:bodyDiv w:val="1"/>
      <w:marLeft w:val="0"/>
      <w:marRight w:val="0"/>
      <w:marTop w:val="0"/>
      <w:marBottom w:val="0"/>
      <w:divBdr>
        <w:top w:val="none" w:sz="0" w:space="0" w:color="auto"/>
        <w:left w:val="none" w:sz="0" w:space="0" w:color="auto"/>
        <w:bottom w:val="none" w:sz="0" w:space="0" w:color="auto"/>
        <w:right w:val="none" w:sz="0" w:space="0" w:color="auto"/>
      </w:divBdr>
    </w:div>
    <w:div w:id="292365350">
      <w:bodyDiv w:val="1"/>
      <w:marLeft w:val="0"/>
      <w:marRight w:val="0"/>
      <w:marTop w:val="0"/>
      <w:marBottom w:val="0"/>
      <w:divBdr>
        <w:top w:val="none" w:sz="0" w:space="0" w:color="auto"/>
        <w:left w:val="none" w:sz="0" w:space="0" w:color="auto"/>
        <w:bottom w:val="none" w:sz="0" w:space="0" w:color="auto"/>
        <w:right w:val="none" w:sz="0" w:space="0" w:color="auto"/>
      </w:divBdr>
    </w:div>
    <w:div w:id="610402874">
      <w:bodyDiv w:val="1"/>
      <w:marLeft w:val="0"/>
      <w:marRight w:val="0"/>
      <w:marTop w:val="0"/>
      <w:marBottom w:val="0"/>
      <w:divBdr>
        <w:top w:val="none" w:sz="0" w:space="0" w:color="auto"/>
        <w:left w:val="none" w:sz="0" w:space="0" w:color="auto"/>
        <w:bottom w:val="none" w:sz="0" w:space="0" w:color="auto"/>
        <w:right w:val="none" w:sz="0" w:space="0" w:color="auto"/>
      </w:divBdr>
    </w:div>
    <w:div w:id="641078781">
      <w:bodyDiv w:val="1"/>
      <w:marLeft w:val="0"/>
      <w:marRight w:val="0"/>
      <w:marTop w:val="0"/>
      <w:marBottom w:val="0"/>
      <w:divBdr>
        <w:top w:val="none" w:sz="0" w:space="0" w:color="auto"/>
        <w:left w:val="none" w:sz="0" w:space="0" w:color="auto"/>
        <w:bottom w:val="none" w:sz="0" w:space="0" w:color="auto"/>
        <w:right w:val="none" w:sz="0" w:space="0" w:color="auto"/>
      </w:divBdr>
    </w:div>
    <w:div w:id="773986229">
      <w:bodyDiv w:val="1"/>
      <w:marLeft w:val="0"/>
      <w:marRight w:val="0"/>
      <w:marTop w:val="0"/>
      <w:marBottom w:val="0"/>
      <w:divBdr>
        <w:top w:val="none" w:sz="0" w:space="0" w:color="auto"/>
        <w:left w:val="none" w:sz="0" w:space="0" w:color="auto"/>
        <w:bottom w:val="none" w:sz="0" w:space="0" w:color="auto"/>
        <w:right w:val="none" w:sz="0" w:space="0" w:color="auto"/>
      </w:divBdr>
    </w:div>
    <w:div w:id="901335133">
      <w:bodyDiv w:val="1"/>
      <w:marLeft w:val="0"/>
      <w:marRight w:val="0"/>
      <w:marTop w:val="0"/>
      <w:marBottom w:val="0"/>
      <w:divBdr>
        <w:top w:val="none" w:sz="0" w:space="0" w:color="auto"/>
        <w:left w:val="none" w:sz="0" w:space="0" w:color="auto"/>
        <w:bottom w:val="none" w:sz="0" w:space="0" w:color="auto"/>
        <w:right w:val="none" w:sz="0" w:space="0" w:color="auto"/>
      </w:divBdr>
      <w:divsChild>
        <w:div w:id="1721441470">
          <w:marLeft w:val="0"/>
          <w:marRight w:val="0"/>
          <w:marTop w:val="0"/>
          <w:marBottom w:val="0"/>
          <w:divBdr>
            <w:top w:val="none" w:sz="0" w:space="0" w:color="auto"/>
            <w:left w:val="none" w:sz="0" w:space="0" w:color="auto"/>
            <w:bottom w:val="none" w:sz="0" w:space="0" w:color="auto"/>
            <w:right w:val="none" w:sz="0" w:space="0" w:color="auto"/>
          </w:divBdr>
          <w:divsChild>
            <w:div w:id="19980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413">
      <w:bodyDiv w:val="1"/>
      <w:marLeft w:val="0"/>
      <w:marRight w:val="0"/>
      <w:marTop w:val="0"/>
      <w:marBottom w:val="0"/>
      <w:divBdr>
        <w:top w:val="none" w:sz="0" w:space="0" w:color="auto"/>
        <w:left w:val="none" w:sz="0" w:space="0" w:color="auto"/>
        <w:bottom w:val="none" w:sz="0" w:space="0" w:color="auto"/>
        <w:right w:val="none" w:sz="0" w:space="0" w:color="auto"/>
      </w:divBdr>
    </w:div>
    <w:div w:id="1211267749">
      <w:bodyDiv w:val="1"/>
      <w:marLeft w:val="0"/>
      <w:marRight w:val="0"/>
      <w:marTop w:val="0"/>
      <w:marBottom w:val="0"/>
      <w:divBdr>
        <w:top w:val="none" w:sz="0" w:space="0" w:color="auto"/>
        <w:left w:val="none" w:sz="0" w:space="0" w:color="auto"/>
        <w:bottom w:val="none" w:sz="0" w:space="0" w:color="auto"/>
        <w:right w:val="none" w:sz="0" w:space="0" w:color="auto"/>
      </w:divBdr>
    </w:div>
    <w:div w:id="1217356811">
      <w:bodyDiv w:val="1"/>
      <w:marLeft w:val="0"/>
      <w:marRight w:val="0"/>
      <w:marTop w:val="0"/>
      <w:marBottom w:val="0"/>
      <w:divBdr>
        <w:top w:val="none" w:sz="0" w:space="0" w:color="auto"/>
        <w:left w:val="none" w:sz="0" w:space="0" w:color="auto"/>
        <w:bottom w:val="none" w:sz="0" w:space="0" w:color="auto"/>
        <w:right w:val="none" w:sz="0" w:space="0" w:color="auto"/>
      </w:divBdr>
    </w:div>
    <w:div w:id="1248810268">
      <w:bodyDiv w:val="1"/>
      <w:marLeft w:val="0"/>
      <w:marRight w:val="0"/>
      <w:marTop w:val="0"/>
      <w:marBottom w:val="0"/>
      <w:divBdr>
        <w:top w:val="none" w:sz="0" w:space="0" w:color="auto"/>
        <w:left w:val="none" w:sz="0" w:space="0" w:color="auto"/>
        <w:bottom w:val="none" w:sz="0" w:space="0" w:color="auto"/>
        <w:right w:val="none" w:sz="0" w:space="0" w:color="auto"/>
      </w:divBdr>
    </w:div>
    <w:div w:id="1291475826">
      <w:bodyDiv w:val="1"/>
      <w:marLeft w:val="0"/>
      <w:marRight w:val="0"/>
      <w:marTop w:val="0"/>
      <w:marBottom w:val="0"/>
      <w:divBdr>
        <w:top w:val="none" w:sz="0" w:space="0" w:color="auto"/>
        <w:left w:val="none" w:sz="0" w:space="0" w:color="auto"/>
        <w:bottom w:val="none" w:sz="0" w:space="0" w:color="auto"/>
        <w:right w:val="none" w:sz="0" w:space="0" w:color="auto"/>
      </w:divBdr>
    </w:div>
    <w:div w:id="1362053786">
      <w:bodyDiv w:val="1"/>
      <w:marLeft w:val="0"/>
      <w:marRight w:val="0"/>
      <w:marTop w:val="0"/>
      <w:marBottom w:val="0"/>
      <w:divBdr>
        <w:top w:val="none" w:sz="0" w:space="0" w:color="auto"/>
        <w:left w:val="none" w:sz="0" w:space="0" w:color="auto"/>
        <w:bottom w:val="none" w:sz="0" w:space="0" w:color="auto"/>
        <w:right w:val="none" w:sz="0" w:space="0" w:color="auto"/>
      </w:divBdr>
    </w:div>
    <w:div w:id="1602563596">
      <w:bodyDiv w:val="1"/>
      <w:marLeft w:val="0"/>
      <w:marRight w:val="0"/>
      <w:marTop w:val="0"/>
      <w:marBottom w:val="0"/>
      <w:divBdr>
        <w:top w:val="none" w:sz="0" w:space="0" w:color="auto"/>
        <w:left w:val="none" w:sz="0" w:space="0" w:color="auto"/>
        <w:bottom w:val="none" w:sz="0" w:space="0" w:color="auto"/>
        <w:right w:val="none" w:sz="0" w:space="0" w:color="auto"/>
      </w:divBdr>
    </w:div>
    <w:div w:id="1657609476">
      <w:bodyDiv w:val="1"/>
      <w:marLeft w:val="0"/>
      <w:marRight w:val="0"/>
      <w:marTop w:val="0"/>
      <w:marBottom w:val="0"/>
      <w:divBdr>
        <w:top w:val="none" w:sz="0" w:space="0" w:color="auto"/>
        <w:left w:val="none" w:sz="0" w:space="0" w:color="auto"/>
        <w:bottom w:val="none" w:sz="0" w:space="0" w:color="auto"/>
        <w:right w:val="none" w:sz="0" w:space="0" w:color="auto"/>
      </w:divBdr>
    </w:div>
    <w:div w:id="1675104421">
      <w:bodyDiv w:val="1"/>
      <w:marLeft w:val="0"/>
      <w:marRight w:val="0"/>
      <w:marTop w:val="0"/>
      <w:marBottom w:val="0"/>
      <w:divBdr>
        <w:top w:val="none" w:sz="0" w:space="0" w:color="auto"/>
        <w:left w:val="none" w:sz="0" w:space="0" w:color="auto"/>
        <w:bottom w:val="none" w:sz="0" w:space="0" w:color="auto"/>
        <w:right w:val="none" w:sz="0" w:space="0" w:color="auto"/>
      </w:divBdr>
    </w:div>
    <w:div w:id="1695383170">
      <w:bodyDiv w:val="1"/>
      <w:marLeft w:val="0"/>
      <w:marRight w:val="0"/>
      <w:marTop w:val="0"/>
      <w:marBottom w:val="0"/>
      <w:divBdr>
        <w:top w:val="none" w:sz="0" w:space="0" w:color="auto"/>
        <w:left w:val="none" w:sz="0" w:space="0" w:color="auto"/>
        <w:bottom w:val="none" w:sz="0" w:space="0" w:color="auto"/>
        <w:right w:val="none" w:sz="0" w:space="0" w:color="auto"/>
      </w:divBdr>
      <w:divsChild>
        <w:div w:id="882443570">
          <w:marLeft w:val="0"/>
          <w:marRight w:val="0"/>
          <w:marTop w:val="0"/>
          <w:marBottom w:val="0"/>
          <w:divBdr>
            <w:top w:val="none" w:sz="0" w:space="0" w:color="auto"/>
            <w:left w:val="none" w:sz="0" w:space="0" w:color="auto"/>
            <w:bottom w:val="none" w:sz="0" w:space="0" w:color="auto"/>
            <w:right w:val="none" w:sz="0" w:space="0" w:color="auto"/>
          </w:divBdr>
        </w:div>
      </w:divsChild>
    </w:div>
    <w:div w:id="1933774825">
      <w:bodyDiv w:val="1"/>
      <w:marLeft w:val="0"/>
      <w:marRight w:val="0"/>
      <w:marTop w:val="0"/>
      <w:marBottom w:val="0"/>
      <w:divBdr>
        <w:top w:val="none" w:sz="0" w:space="0" w:color="auto"/>
        <w:left w:val="none" w:sz="0" w:space="0" w:color="auto"/>
        <w:bottom w:val="none" w:sz="0" w:space="0" w:color="auto"/>
        <w:right w:val="none" w:sz="0" w:space="0" w:color="auto"/>
      </w:divBdr>
    </w:div>
    <w:div w:id="2099205178">
      <w:bodyDiv w:val="1"/>
      <w:marLeft w:val="0"/>
      <w:marRight w:val="0"/>
      <w:marTop w:val="0"/>
      <w:marBottom w:val="0"/>
      <w:divBdr>
        <w:top w:val="none" w:sz="0" w:space="0" w:color="auto"/>
        <w:left w:val="none" w:sz="0" w:space="0" w:color="auto"/>
        <w:bottom w:val="none" w:sz="0" w:space="0" w:color="auto"/>
        <w:right w:val="none" w:sz="0" w:space="0" w:color="auto"/>
      </w:divBdr>
    </w:div>
    <w:div w:id="2124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A65FJVFR3NAS-1618603028-793</_dlc_DocId>
    <_dlc_DocIdUrl xmlns="fe5c55e1-1529-428c-8c16-ada3460a0e7a">
      <Url>http://tame/_layouts/15/DocIdRedir.aspx?ID=A65FJVFR3NAS-1618603028-793</Url>
      <Description>A65FJVFR3NAS-1618603028-793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A421A-BCAF-4EA9-8DB2-CA0E1639047D}"/>
</file>

<file path=customXml/itemProps2.xml><?xml version="1.0" encoding="utf-8"?>
<ds:datastoreItem xmlns:ds="http://schemas.openxmlformats.org/officeDocument/2006/customXml" ds:itemID="{70DE6978-8A9D-4872-AF20-A7E7F2F41F5A}"/>
</file>

<file path=customXml/itemProps3.xml><?xml version="1.0" encoding="utf-8"?>
<ds:datastoreItem xmlns:ds="http://schemas.openxmlformats.org/officeDocument/2006/customXml" ds:itemID="{B036BE7A-D038-4C63-B373-546569DEDF0F}"/>
</file>

<file path=customXml/itemProps4.xml><?xml version="1.0" encoding="utf-8"?>
<ds:datastoreItem xmlns:ds="http://schemas.openxmlformats.org/officeDocument/2006/customXml" ds:itemID="{2CC420C3-5D2E-4DC9-A514-2497A54D10C1}"/>
</file>

<file path=customXml/itemProps5.xml><?xml version="1.0" encoding="utf-8"?>
<ds:datastoreItem xmlns:ds="http://schemas.openxmlformats.org/officeDocument/2006/customXml" ds:itemID="{C6EC2B1D-58EA-44BD-9BFF-3342C2E19957}"/>
</file>

<file path=docProps/app.xml><?xml version="1.0" encoding="utf-8"?>
<Properties xmlns="http://schemas.openxmlformats.org/officeDocument/2006/extended-properties" xmlns:vt="http://schemas.openxmlformats.org/officeDocument/2006/docPropsVTypes">
  <Template>Normal</Template>
  <TotalTime>11</TotalTime>
  <Pages>3</Pages>
  <Words>1078</Words>
  <Characters>5931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Dependencia que desarrollara el proyecto de Norma( Escriba el nombre de la dependencia que liderará el proceso)</vt:lpstr>
    </vt:vector>
  </TitlesOfParts>
  <Company>Ministerio del Interior y de Justicia</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que desarrollara el proyecto de Norma( Escriba el nombre de la dependencia que liderará el proceso)</dc:title>
  <dc:creator>ANGEST</dc:creator>
  <cp:lastModifiedBy>Deisy Carolina Barrero Vallejo</cp:lastModifiedBy>
  <cp:revision>14</cp:revision>
  <cp:lastPrinted>2017-12-20T16:13:00Z</cp:lastPrinted>
  <dcterms:created xsi:type="dcterms:W3CDTF">2018-08-24T16:31:00Z</dcterms:created>
  <dcterms:modified xsi:type="dcterms:W3CDTF">2018-08-24T16:43:00Z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672da538-0e38-4eb9-90cb-ea716ab7936f</vt:lpwstr>
  </property>
</Properties>
</file>